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90" w:type="dxa"/>
        <w:tblInd w:w="-815" w:type="dxa"/>
        <w:tblLayout w:type="fixed"/>
        <w:tblLook w:val="04A0" w:firstRow="1" w:lastRow="0" w:firstColumn="1" w:lastColumn="0" w:noHBand="0" w:noVBand="1"/>
      </w:tblPr>
      <w:tblGrid>
        <w:gridCol w:w="1620"/>
        <w:gridCol w:w="1890"/>
        <w:gridCol w:w="4410"/>
        <w:gridCol w:w="1350"/>
        <w:gridCol w:w="1260"/>
        <w:gridCol w:w="1080"/>
        <w:gridCol w:w="2880"/>
      </w:tblGrid>
      <w:tr w:rsidR="00AF667B" w:rsidRPr="00EA2DCE" w:rsidTr="001245E1">
        <w:trPr>
          <w:tblHeader/>
        </w:trPr>
        <w:tc>
          <w:tcPr>
            <w:tcW w:w="1620" w:type="dxa"/>
            <w:shd w:val="clear" w:color="auto" w:fill="AFEA74"/>
          </w:tcPr>
          <w:p w:rsidR="006D6916" w:rsidRPr="00EA2DCE" w:rsidRDefault="006D6916" w:rsidP="004D7A93">
            <w:pPr>
              <w:jc w:val="center"/>
              <w:rPr>
                <w:rFonts w:cs="Times New Roman"/>
                <w:b/>
                <w:u w:val="single"/>
              </w:rPr>
            </w:pPr>
            <w:r w:rsidRPr="00EA2DCE">
              <w:rPr>
                <w:rFonts w:cs="Times New Roman"/>
                <w:b/>
                <w:u w:val="single"/>
              </w:rPr>
              <w:t>ISSUE</w:t>
            </w:r>
          </w:p>
        </w:tc>
        <w:tc>
          <w:tcPr>
            <w:tcW w:w="1890" w:type="dxa"/>
            <w:shd w:val="clear" w:color="auto" w:fill="AFEA74"/>
          </w:tcPr>
          <w:p w:rsidR="006D6916" w:rsidRPr="00EA2DCE" w:rsidRDefault="006D6916" w:rsidP="004D7A93">
            <w:pPr>
              <w:jc w:val="center"/>
              <w:rPr>
                <w:rFonts w:cs="Times New Roman"/>
                <w:b/>
                <w:u w:val="single"/>
              </w:rPr>
            </w:pPr>
            <w:r w:rsidRPr="00EA2DCE">
              <w:rPr>
                <w:rFonts w:cs="Times New Roman"/>
                <w:b/>
                <w:u w:val="single"/>
              </w:rPr>
              <w:t>INSTITUTION</w:t>
            </w:r>
          </w:p>
        </w:tc>
        <w:tc>
          <w:tcPr>
            <w:tcW w:w="4410" w:type="dxa"/>
            <w:shd w:val="clear" w:color="auto" w:fill="AFEA74"/>
          </w:tcPr>
          <w:p w:rsidR="006D6916" w:rsidRPr="00EA2DCE" w:rsidRDefault="006D6916" w:rsidP="004D7A93">
            <w:pPr>
              <w:jc w:val="center"/>
              <w:rPr>
                <w:rFonts w:cs="Times New Roman"/>
                <w:b/>
                <w:u w:val="single"/>
              </w:rPr>
            </w:pPr>
            <w:r w:rsidRPr="00EA2DCE">
              <w:rPr>
                <w:rFonts w:cs="Times New Roman"/>
                <w:b/>
                <w:u w:val="single"/>
              </w:rPr>
              <w:t>VIOLATIONS</w:t>
            </w:r>
          </w:p>
        </w:tc>
        <w:tc>
          <w:tcPr>
            <w:tcW w:w="1350" w:type="dxa"/>
            <w:shd w:val="clear" w:color="auto" w:fill="AFEA74"/>
          </w:tcPr>
          <w:p w:rsidR="006D6916" w:rsidRPr="00EA2DCE" w:rsidRDefault="006D6916" w:rsidP="004D7A93">
            <w:pPr>
              <w:jc w:val="center"/>
              <w:rPr>
                <w:rFonts w:cs="Times New Roman"/>
                <w:b/>
                <w:u w:val="single"/>
              </w:rPr>
            </w:pPr>
            <w:r w:rsidRPr="00EA2DCE">
              <w:rPr>
                <w:rFonts w:cs="Times New Roman"/>
                <w:b/>
                <w:u w:val="single"/>
              </w:rPr>
              <w:t>ACTION</w:t>
            </w:r>
          </w:p>
        </w:tc>
        <w:tc>
          <w:tcPr>
            <w:tcW w:w="1260" w:type="dxa"/>
            <w:shd w:val="clear" w:color="auto" w:fill="AFEA74"/>
          </w:tcPr>
          <w:p w:rsidR="006D6916" w:rsidRPr="00EA2DCE" w:rsidRDefault="006D6916" w:rsidP="004D7A93">
            <w:pPr>
              <w:jc w:val="center"/>
              <w:rPr>
                <w:rFonts w:cs="Times New Roman"/>
                <w:b/>
                <w:u w:val="single"/>
              </w:rPr>
            </w:pPr>
            <w:r w:rsidRPr="00EA2DCE">
              <w:rPr>
                <w:rFonts w:cs="Times New Roman"/>
                <w:b/>
                <w:u w:val="single"/>
              </w:rPr>
              <w:t>AGENCY</w:t>
            </w:r>
          </w:p>
        </w:tc>
        <w:tc>
          <w:tcPr>
            <w:tcW w:w="1080" w:type="dxa"/>
            <w:shd w:val="clear" w:color="auto" w:fill="AFEA74"/>
          </w:tcPr>
          <w:p w:rsidR="006D6916" w:rsidRPr="00EA2DCE" w:rsidRDefault="006D6916" w:rsidP="004D7A93">
            <w:pPr>
              <w:jc w:val="center"/>
              <w:rPr>
                <w:rFonts w:cs="Times New Roman"/>
                <w:b/>
                <w:u w:val="single"/>
              </w:rPr>
            </w:pPr>
            <w:r w:rsidRPr="00EA2DCE">
              <w:rPr>
                <w:rFonts w:cs="Times New Roman"/>
                <w:b/>
                <w:u w:val="single"/>
              </w:rPr>
              <w:t>DATE</w:t>
            </w:r>
          </w:p>
        </w:tc>
        <w:tc>
          <w:tcPr>
            <w:tcW w:w="2880" w:type="dxa"/>
            <w:shd w:val="clear" w:color="auto" w:fill="AFEA74"/>
          </w:tcPr>
          <w:p w:rsidR="006D6916" w:rsidRPr="00EA2DCE" w:rsidRDefault="006D6916" w:rsidP="004D7A93">
            <w:pPr>
              <w:jc w:val="center"/>
              <w:rPr>
                <w:rFonts w:cs="Times New Roman"/>
                <w:b/>
                <w:u w:val="single"/>
              </w:rPr>
            </w:pPr>
            <w:r w:rsidRPr="00EA2DCE">
              <w:rPr>
                <w:rFonts w:cs="Times New Roman"/>
                <w:b/>
                <w:u w:val="single"/>
              </w:rPr>
              <w:t>PENALTY/</w:t>
            </w:r>
          </w:p>
          <w:p w:rsidR="006D6916" w:rsidRPr="00EA2DCE" w:rsidRDefault="006D6916" w:rsidP="004D7A93">
            <w:pPr>
              <w:jc w:val="center"/>
              <w:rPr>
                <w:rFonts w:cs="Times New Roman"/>
                <w:b/>
                <w:u w:val="single"/>
              </w:rPr>
            </w:pPr>
            <w:r w:rsidRPr="00EA2DCE">
              <w:rPr>
                <w:rFonts w:cs="Times New Roman"/>
                <w:b/>
                <w:u w:val="single"/>
              </w:rPr>
              <w:t>CORRECTIVE ACTION</w:t>
            </w:r>
          </w:p>
        </w:tc>
      </w:tr>
      <w:tr w:rsidR="00EF411E" w:rsidRPr="00EA2DCE" w:rsidTr="00403C5F">
        <w:trPr>
          <w:trHeight w:val="1628"/>
        </w:trPr>
        <w:tc>
          <w:tcPr>
            <w:tcW w:w="1620" w:type="dxa"/>
            <w:shd w:val="clear" w:color="auto" w:fill="auto"/>
          </w:tcPr>
          <w:p w:rsidR="00EF411E" w:rsidRDefault="00DE7A21">
            <w:pPr>
              <w:rPr>
                <w:rFonts w:cs="Times New Roman"/>
              </w:rPr>
            </w:pPr>
            <w:hyperlink r:id="rId8" w:history="1">
              <w:r w:rsidR="00EF411E" w:rsidRPr="00EF411E">
                <w:rPr>
                  <w:rStyle w:val="Hyperlink"/>
                  <w:rFonts w:cs="Times New Roman"/>
                </w:rPr>
                <w:t>Flood</w:t>
              </w:r>
            </w:hyperlink>
          </w:p>
        </w:tc>
        <w:tc>
          <w:tcPr>
            <w:tcW w:w="1890" w:type="dxa"/>
            <w:shd w:val="clear" w:color="auto" w:fill="auto"/>
          </w:tcPr>
          <w:p w:rsidR="00EF411E" w:rsidRDefault="00EF411E" w:rsidP="00EF411E">
            <w:r>
              <w:t>Park Bank,</w:t>
            </w:r>
          </w:p>
          <w:p w:rsidR="00EF411E" w:rsidRDefault="00EF411E" w:rsidP="00EF411E">
            <w:r>
              <w:t>(Holmen, WI)</w:t>
            </w:r>
          </w:p>
        </w:tc>
        <w:tc>
          <w:tcPr>
            <w:tcW w:w="4410" w:type="dxa"/>
            <w:shd w:val="clear" w:color="auto" w:fill="auto"/>
          </w:tcPr>
          <w:p w:rsidR="00376BBE" w:rsidRDefault="00EF411E" w:rsidP="00610FE5">
            <w:pPr>
              <w:pStyle w:val="ListParagraph"/>
              <w:numPr>
                <w:ilvl w:val="0"/>
                <w:numId w:val="1"/>
              </w:numPr>
            </w:pPr>
            <w:r>
              <w:t xml:space="preserve">Engaged in a pattern or practice of committing </w:t>
            </w:r>
            <w:r w:rsidR="00376BBE">
              <w:t xml:space="preserve">violations of </w:t>
            </w:r>
            <w:r>
              <w:t>12 C.F.R. Part 3</w:t>
            </w:r>
            <w:r w:rsidR="00376BBE">
              <w:t>39</w:t>
            </w:r>
          </w:p>
          <w:p w:rsidR="00376BBE" w:rsidRDefault="00376BBE" w:rsidP="00376BBE">
            <w:pPr>
              <w:pStyle w:val="ListParagraph"/>
              <w:numPr>
                <w:ilvl w:val="1"/>
                <w:numId w:val="1"/>
              </w:numPr>
            </w:pPr>
            <w:r>
              <w:t xml:space="preserve">Failed to maintain adequate flood insurance </w:t>
            </w:r>
          </w:p>
          <w:p w:rsidR="00376BBE" w:rsidRDefault="00376BBE" w:rsidP="00376BBE">
            <w:pPr>
              <w:pStyle w:val="ListParagraph"/>
              <w:numPr>
                <w:ilvl w:val="1"/>
                <w:numId w:val="1"/>
              </w:numPr>
            </w:pPr>
            <w:r>
              <w:t xml:space="preserve">Failed to notify borrower of insufficient coverage before force placing </w:t>
            </w:r>
          </w:p>
          <w:p w:rsidR="00376BBE" w:rsidRDefault="00376BBE" w:rsidP="00376BBE">
            <w:pPr>
              <w:pStyle w:val="ListParagraph"/>
              <w:numPr>
                <w:ilvl w:val="1"/>
                <w:numId w:val="1"/>
              </w:numPr>
            </w:pPr>
            <w:r>
              <w:t>Failed to obtain adequate flood insurance at origination</w:t>
            </w:r>
          </w:p>
          <w:p w:rsidR="00376BBE" w:rsidRDefault="00376BBE" w:rsidP="00376BBE">
            <w:pPr>
              <w:pStyle w:val="ListParagraph"/>
              <w:numPr>
                <w:ilvl w:val="1"/>
                <w:numId w:val="1"/>
              </w:numPr>
            </w:pPr>
            <w:r>
              <w:t>Failed notice of insufficient insurance</w:t>
            </w:r>
          </w:p>
          <w:p w:rsidR="00376BBE" w:rsidRDefault="00376BBE" w:rsidP="00376BBE">
            <w:pPr>
              <w:pStyle w:val="ListParagraph"/>
              <w:numPr>
                <w:ilvl w:val="1"/>
                <w:numId w:val="1"/>
              </w:numPr>
            </w:pPr>
            <w:r>
              <w:t>Failed to force place insurance</w:t>
            </w:r>
          </w:p>
          <w:p w:rsidR="00376BBE" w:rsidRDefault="00376BBE" w:rsidP="00376BBE">
            <w:pPr>
              <w:pStyle w:val="ListParagraph"/>
              <w:numPr>
                <w:ilvl w:val="1"/>
                <w:numId w:val="1"/>
              </w:numPr>
            </w:pPr>
            <w:r>
              <w:t>Failed to maintain an escrow account for designated loan</w:t>
            </w:r>
          </w:p>
          <w:p w:rsidR="00376BBE" w:rsidRDefault="00376BBE" w:rsidP="00376BBE">
            <w:pPr>
              <w:pStyle w:val="ListParagraph"/>
              <w:numPr>
                <w:ilvl w:val="1"/>
                <w:numId w:val="1"/>
              </w:numPr>
            </w:pPr>
            <w:r>
              <w:t>Failed to provide flood notice (2)</w:t>
            </w:r>
          </w:p>
        </w:tc>
        <w:tc>
          <w:tcPr>
            <w:tcW w:w="1350" w:type="dxa"/>
            <w:shd w:val="clear" w:color="auto" w:fill="auto"/>
          </w:tcPr>
          <w:p w:rsidR="00EF411E" w:rsidRDefault="00EF411E" w:rsidP="00085D36">
            <w:pPr>
              <w:rPr>
                <w:rFonts w:cs="Times New Roman"/>
              </w:rPr>
            </w:pPr>
            <w:r>
              <w:rPr>
                <w:rFonts w:cs="Times New Roman"/>
              </w:rPr>
              <w:t>CMP</w:t>
            </w:r>
          </w:p>
        </w:tc>
        <w:tc>
          <w:tcPr>
            <w:tcW w:w="1260" w:type="dxa"/>
            <w:shd w:val="clear" w:color="auto" w:fill="auto"/>
          </w:tcPr>
          <w:p w:rsidR="00EF411E" w:rsidRDefault="00EF411E">
            <w:pPr>
              <w:rPr>
                <w:rFonts w:cs="Times New Roman"/>
              </w:rPr>
            </w:pPr>
            <w:r>
              <w:rPr>
                <w:rFonts w:cs="Times New Roman"/>
              </w:rPr>
              <w:t>FDIC</w:t>
            </w:r>
          </w:p>
        </w:tc>
        <w:tc>
          <w:tcPr>
            <w:tcW w:w="1080" w:type="dxa"/>
            <w:shd w:val="clear" w:color="auto" w:fill="auto"/>
          </w:tcPr>
          <w:p w:rsidR="00EF411E" w:rsidRDefault="00EF411E">
            <w:pPr>
              <w:rPr>
                <w:rFonts w:cs="Times New Roman"/>
              </w:rPr>
            </w:pPr>
            <w:r>
              <w:rPr>
                <w:rFonts w:cs="Times New Roman"/>
              </w:rPr>
              <w:t>12/19/18</w:t>
            </w:r>
          </w:p>
        </w:tc>
        <w:tc>
          <w:tcPr>
            <w:tcW w:w="2880" w:type="dxa"/>
            <w:shd w:val="clear" w:color="auto" w:fill="auto"/>
          </w:tcPr>
          <w:p w:rsidR="00EF411E" w:rsidRDefault="00EF411E" w:rsidP="00C22BCC">
            <w:r>
              <w:t>CMP: $7,850</w:t>
            </w:r>
          </w:p>
        </w:tc>
      </w:tr>
      <w:tr w:rsidR="00CB762B" w:rsidRPr="00EA2DCE" w:rsidTr="00403C5F">
        <w:trPr>
          <w:trHeight w:val="1628"/>
        </w:trPr>
        <w:tc>
          <w:tcPr>
            <w:tcW w:w="1620" w:type="dxa"/>
            <w:shd w:val="clear" w:color="auto" w:fill="auto"/>
          </w:tcPr>
          <w:p w:rsidR="00CB762B" w:rsidRPr="00EA2DCE" w:rsidRDefault="00DE7A21">
            <w:pPr>
              <w:rPr>
                <w:rFonts w:cs="Times New Roman"/>
              </w:rPr>
            </w:pPr>
            <w:hyperlink r:id="rId9" w:history="1">
              <w:r w:rsidR="00CB762B" w:rsidRPr="00CB762B">
                <w:rPr>
                  <w:rStyle w:val="Hyperlink"/>
                  <w:rFonts w:cs="Times New Roman"/>
                </w:rPr>
                <w:t>Flood</w:t>
              </w:r>
            </w:hyperlink>
          </w:p>
        </w:tc>
        <w:tc>
          <w:tcPr>
            <w:tcW w:w="1890" w:type="dxa"/>
            <w:shd w:val="clear" w:color="auto" w:fill="auto"/>
          </w:tcPr>
          <w:p w:rsidR="00CB762B" w:rsidRPr="00EA2DCE" w:rsidRDefault="00EF411E" w:rsidP="0010089B">
            <w:pPr>
              <w:rPr>
                <w:rFonts w:cs="Times New Roman"/>
              </w:rPr>
            </w:pPr>
            <w:r>
              <w:t>Prairie State Bank And Trust (Springfield, IL)</w:t>
            </w:r>
          </w:p>
        </w:tc>
        <w:tc>
          <w:tcPr>
            <w:tcW w:w="4410" w:type="dxa"/>
            <w:shd w:val="clear" w:color="auto" w:fill="auto"/>
          </w:tcPr>
          <w:p w:rsidR="00CB762B" w:rsidRPr="00EA2DCE" w:rsidRDefault="00CB762B" w:rsidP="005046B0">
            <w:pPr>
              <w:pStyle w:val="ListParagraph"/>
              <w:numPr>
                <w:ilvl w:val="0"/>
                <w:numId w:val="1"/>
              </w:numPr>
              <w:rPr>
                <w:rFonts w:cs="Times New Roman"/>
              </w:rPr>
            </w:pPr>
            <w:r>
              <w:t>Bank violated Section 339.3(a) of the FDIC Rules and Regulations, 12 C.F.R. § 339.3(a), by failing to obtain flood insurance at origination in two instances, and failing to obtain or maintain adequate flood insurance in eleven instances; and Section 339.7(c) of the FDIC Rules and Regulations, 12 C.F.R. § 339.7, by failing to properly force place flood insurance in nine instances.</w:t>
            </w:r>
          </w:p>
        </w:tc>
        <w:tc>
          <w:tcPr>
            <w:tcW w:w="1350" w:type="dxa"/>
            <w:shd w:val="clear" w:color="auto" w:fill="auto"/>
          </w:tcPr>
          <w:p w:rsidR="00CB762B" w:rsidRPr="00EA2DCE" w:rsidRDefault="00EF411E" w:rsidP="00085D36">
            <w:pPr>
              <w:rPr>
                <w:rFonts w:cs="Times New Roman"/>
              </w:rPr>
            </w:pPr>
            <w:r>
              <w:rPr>
                <w:rFonts w:cs="Times New Roman"/>
              </w:rPr>
              <w:t>CMP</w:t>
            </w:r>
          </w:p>
        </w:tc>
        <w:tc>
          <w:tcPr>
            <w:tcW w:w="1260" w:type="dxa"/>
            <w:shd w:val="clear" w:color="auto" w:fill="auto"/>
          </w:tcPr>
          <w:p w:rsidR="00CB762B" w:rsidRPr="00EA2DCE" w:rsidRDefault="00EF411E">
            <w:pPr>
              <w:rPr>
                <w:rFonts w:cs="Times New Roman"/>
              </w:rPr>
            </w:pPr>
            <w:r>
              <w:rPr>
                <w:rFonts w:cs="Times New Roman"/>
              </w:rPr>
              <w:t>FDIC</w:t>
            </w:r>
          </w:p>
        </w:tc>
        <w:tc>
          <w:tcPr>
            <w:tcW w:w="1080" w:type="dxa"/>
            <w:shd w:val="clear" w:color="auto" w:fill="auto"/>
          </w:tcPr>
          <w:p w:rsidR="00CB762B" w:rsidRPr="00EA2DCE" w:rsidRDefault="00EF411E">
            <w:pPr>
              <w:rPr>
                <w:rFonts w:cs="Times New Roman"/>
              </w:rPr>
            </w:pPr>
            <w:r>
              <w:rPr>
                <w:rFonts w:cs="Times New Roman"/>
              </w:rPr>
              <w:t>12/4/18</w:t>
            </w:r>
          </w:p>
        </w:tc>
        <w:tc>
          <w:tcPr>
            <w:tcW w:w="2880" w:type="dxa"/>
            <w:shd w:val="clear" w:color="auto" w:fill="auto"/>
          </w:tcPr>
          <w:p w:rsidR="00CB762B" w:rsidRPr="00EA2DCE" w:rsidRDefault="00EF411E" w:rsidP="00C22BCC">
            <w:pPr>
              <w:rPr>
                <w:rFonts w:cs="Times New Roman"/>
              </w:rPr>
            </w:pPr>
            <w:r>
              <w:t>CMP: $12,416</w:t>
            </w:r>
          </w:p>
        </w:tc>
      </w:tr>
      <w:tr w:rsidR="0010089B" w:rsidRPr="00EA2DCE" w:rsidTr="00403C5F">
        <w:trPr>
          <w:trHeight w:val="1628"/>
        </w:trPr>
        <w:tc>
          <w:tcPr>
            <w:tcW w:w="1620" w:type="dxa"/>
            <w:shd w:val="clear" w:color="auto" w:fill="auto"/>
          </w:tcPr>
          <w:p w:rsidR="0010089B" w:rsidRPr="00EA2DCE" w:rsidRDefault="0010089B">
            <w:pPr>
              <w:rPr>
                <w:rStyle w:val="Hyperlink"/>
                <w:rFonts w:cs="Times New Roman"/>
              </w:rPr>
            </w:pPr>
            <w:r w:rsidRPr="00EA2DCE">
              <w:rPr>
                <w:rFonts w:cs="Times New Roman"/>
              </w:rPr>
              <w:lastRenderedPageBreak/>
              <w:fldChar w:fldCharType="begin"/>
            </w:r>
            <w:r w:rsidRPr="00EA2DCE">
              <w:rPr>
                <w:rFonts w:cs="Times New Roman"/>
              </w:rPr>
              <w:instrText xml:space="preserve"> HYPERLINK "https://s3.amazonaws.com/files.consumerfinance.gov/f/documents/bcfp_state-farm-bank_consent-order.pdf" </w:instrText>
            </w:r>
            <w:r w:rsidRPr="00EA2DCE">
              <w:rPr>
                <w:rFonts w:cs="Times New Roman"/>
              </w:rPr>
              <w:fldChar w:fldCharType="separate"/>
            </w:r>
            <w:r w:rsidRPr="00EA2DCE">
              <w:rPr>
                <w:rStyle w:val="Hyperlink"/>
                <w:rFonts w:cs="Times New Roman"/>
              </w:rPr>
              <w:t>FCRA/</w:t>
            </w:r>
          </w:p>
          <w:p w:rsidR="0010089B" w:rsidRPr="00EA2DCE" w:rsidRDefault="0010089B">
            <w:pPr>
              <w:rPr>
                <w:rFonts w:cs="Times New Roman"/>
              </w:rPr>
            </w:pPr>
            <w:r w:rsidRPr="00EA2DCE">
              <w:rPr>
                <w:rStyle w:val="Hyperlink"/>
                <w:rFonts w:cs="Times New Roman"/>
              </w:rPr>
              <w:t>Regulation V</w:t>
            </w:r>
            <w:r w:rsidRPr="00EA2DCE">
              <w:rPr>
                <w:rFonts w:cs="Times New Roman"/>
              </w:rPr>
              <w:fldChar w:fldCharType="end"/>
            </w:r>
          </w:p>
        </w:tc>
        <w:tc>
          <w:tcPr>
            <w:tcW w:w="1890" w:type="dxa"/>
            <w:shd w:val="clear" w:color="auto" w:fill="auto"/>
          </w:tcPr>
          <w:p w:rsidR="0010089B" w:rsidRPr="00EA2DCE" w:rsidRDefault="0010089B" w:rsidP="0010089B">
            <w:pPr>
              <w:rPr>
                <w:rFonts w:cs="Times New Roman"/>
              </w:rPr>
            </w:pPr>
            <w:r w:rsidRPr="00EA2DCE">
              <w:rPr>
                <w:rFonts w:cs="Times New Roman"/>
              </w:rPr>
              <w:t>State Farm Bank, FSB</w:t>
            </w:r>
          </w:p>
          <w:p w:rsidR="0010089B" w:rsidRPr="00EA2DCE" w:rsidRDefault="0010089B" w:rsidP="0010089B">
            <w:pPr>
              <w:rPr>
                <w:rFonts w:cs="Times New Roman"/>
              </w:rPr>
            </w:pPr>
            <w:r w:rsidRPr="00EA2DCE">
              <w:rPr>
                <w:rFonts w:cs="Times New Roman"/>
              </w:rPr>
              <w:t>(Bloomington, IL)</w:t>
            </w:r>
          </w:p>
        </w:tc>
        <w:tc>
          <w:tcPr>
            <w:tcW w:w="4410" w:type="dxa"/>
            <w:shd w:val="clear" w:color="auto" w:fill="auto"/>
          </w:tcPr>
          <w:p w:rsidR="0010089B" w:rsidRPr="00EA2DCE" w:rsidRDefault="0010089B" w:rsidP="005046B0">
            <w:pPr>
              <w:pStyle w:val="ListParagraph"/>
              <w:numPr>
                <w:ilvl w:val="0"/>
                <w:numId w:val="1"/>
              </w:numPr>
              <w:rPr>
                <w:rFonts w:cs="Times New Roman"/>
              </w:rPr>
            </w:pPr>
            <w:r w:rsidRPr="00EA2DCE">
              <w:rPr>
                <w:rFonts w:cs="Times New Roman"/>
              </w:rPr>
              <w:t xml:space="preserve">Obtained consumer reports without a permissible purpose in violation of § 604(f) of the Fair Credit Reporting Act (FCRA), 15 U.S.C. § 1681b(f); </w:t>
            </w:r>
          </w:p>
          <w:p w:rsidR="0010089B" w:rsidRPr="00EA2DCE" w:rsidRDefault="0010089B" w:rsidP="005046B0">
            <w:pPr>
              <w:pStyle w:val="ListParagraph"/>
              <w:numPr>
                <w:ilvl w:val="0"/>
                <w:numId w:val="1"/>
              </w:numPr>
              <w:rPr>
                <w:rFonts w:cs="Times New Roman"/>
              </w:rPr>
            </w:pPr>
            <w:r w:rsidRPr="00EA2DCE">
              <w:rPr>
                <w:rFonts w:cs="Times New Roman"/>
              </w:rPr>
              <w:t>Furnished inaccurate information about</w:t>
            </w:r>
          </w:p>
          <w:p w:rsidR="0010089B" w:rsidRPr="00EA2DCE" w:rsidRDefault="0010089B" w:rsidP="0010089B">
            <w:pPr>
              <w:pStyle w:val="ListParagraph"/>
              <w:ind w:left="360"/>
              <w:rPr>
                <w:rFonts w:cs="Times New Roman"/>
              </w:rPr>
            </w:pPr>
            <w:r w:rsidRPr="00EA2DCE">
              <w:rPr>
                <w:rFonts w:cs="Times New Roman"/>
              </w:rPr>
              <w:t xml:space="preserve">consumers’ credit to CRAs that it knew or had reasonable cause to believe was inaccurate in violation of § 23(a)(1)(A) of FCRA, 15 U.S.C. § 1681s-2(a)(1)(A); </w:t>
            </w:r>
          </w:p>
          <w:p w:rsidR="0010089B" w:rsidRPr="00EA2DCE" w:rsidRDefault="0010089B" w:rsidP="0010089B">
            <w:pPr>
              <w:pStyle w:val="ListParagraph"/>
              <w:numPr>
                <w:ilvl w:val="0"/>
                <w:numId w:val="1"/>
              </w:numPr>
              <w:rPr>
                <w:rFonts w:cs="Times New Roman"/>
              </w:rPr>
            </w:pPr>
            <w:r w:rsidRPr="00EA2DCE">
              <w:rPr>
                <w:rFonts w:cs="Times New Roman"/>
              </w:rPr>
              <w:t xml:space="preserve">Failed to promptly update or correct information furnished to CRAs that incomplete or inaccurate in violation of § 623(a)(2) of FCRA, 15 U.S.C § 1681s-2(a)(2); </w:t>
            </w:r>
          </w:p>
          <w:p w:rsidR="00C22BCC" w:rsidRPr="00EA2DCE" w:rsidRDefault="00C22BCC" w:rsidP="005046B0">
            <w:pPr>
              <w:pStyle w:val="ListParagraph"/>
              <w:numPr>
                <w:ilvl w:val="0"/>
                <w:numId w:val="1"/>
              </w:numPr>
              <w:rPr>
                <w:rFonts w:cs="Times New Roman"/>
              </w:rPr>
            </w:pPr>
            <w:r w:rsidRPr="00EA2DCE">
              <w:rPr>
                <w:rFonts w:cs="Times New Roman"/>
              </w:rPr>
              <w:t>F</w:t>
            </w:r>
            <w:r w:rsidR="0010089B" w:rsidRPr="00EA2DCE">
              <w:rPr>
                <w:rFonts w:cs="Times New Roman"/>
              </w:rPr>
              <w:t>urnished information to CRAs without providing notice that the</w:t>
            </w:r>
            <w:r w:rsidRPr="00EA2DCE">
              <w:rPr>
                <w:rFonts w:cs="Times New Roman"/>
              </w:rPr>
              <w:t xml:space="preserve"> </w:t>
            </w:r>
            <w:r w:rsidR="0010089B" w:rsidRPr="00EA2DCE">
              <w:rPr>
                <w:rFonts w:cs="Times New Roman"/>
              </w:rPr>
              <w:t>information was disputed by the consumer in violation of § 623(a)(3) of FCRA, 15</w:t>
            </w:r>
            <w:r w:rsidRPr="00EA2DCE">
              <w:rPr>
                <w:rFonts w:cs="Times New Roman"/>
              </w:rPr>
              <w:t xml:space="preserve"> </w:t>
            </w:r>
            <w:r w:rsidR="0010089B" w:rsidRPr="00EA2DCE">
              <w:rPr>
                <w:rFonts w:cs="Times New Roman"/>
              </w:rPr>
              <w:t xml:space="preserve">U.S.C. § 1681s-2(a)(3); </w:t>
            </w:r>
          </w:p>
          <w:p w:rsidR="0010089B" w:rsidRPr="00EA2DCE" w:rsidRDefault="00C22BCC" w:rsidP="005046B0">
            <w:pPr>
              <w:pStyle w:val="ListParagraph"/>
              <w:numPr>
                <w:ilvl w:val="0"/>
                <w:numId w:val="1"/>
              </w:numPr>
              <w:rPr>
                <w:rFonts w:cs="Times New Roman"/>
              </w:rPr>
            </w:pPr>
            <w:r w:rsidRPr="00EA2DCE">
              <w:rPr>
                <w:rFonts w:cs="Times New Roman"/>
              </w:rPr>
              <w:t>F</w:t>
            </w:r>
            <w:r w:rsidR="0010089B" w:rsidRPr="00EA2DCE">
              <w:rPr>
                <w:rFonts w:cs="Times New Roman"/>
              </w:rPr>
              <w:t>ailed to establish and implement</w:t>
            </w:r>
          </w:p>
          <w:p w:rsidR="0010089B" w:rsidRPr="00EA2DCE" w:rsidRDefault="0010089B" w:rsidP="00C22BCC">
            <w:pPr>
              <w:pStyle w:val="ListParagraph"/>
              <w:ind w:left="360"/>
              <w:rPr>
                <w:rFonts w:cs="Times New Roman"/>
              </w:rPr>
            </w:pPr>
            <w:proofErr w:type="gramStart"/>
            <w:r w:rsidRPr="00EA2DCE">
              <w:rPr>
                <w:rFonts w:cs="Times New Roman"/>
              </w:rPr>
              <w:t>reasonable</w:t>
            </w:r>
            <w:proofErr w:type="gramEnd"/>
            <w:r w:rsidRPr="00EA2DCE">
              <w:rPr>
                <w:rFonts w:cs="Times New Roman"/>
              </w:rPr>
              <w:t xml:space="preserve"> written policies and procedures regarding the accuracy and integrity of</w:t>
            </w:r>
            <w:r w:rsidR="00C22BCC" w:rsidRPr="00EA2DCE">
              <w:rPr>
                <w:rFonts w:cs="Times New Roman"/>
              </w:rPr>
              <w:t xml:space="preserve"> </w:t>
            </w:r>
            <w:r w:rsidRPr="00EA2DCE">
              <w:rPr>
                <w:rFonts w:cs="Times New Roman"/>
              </w:rPr>
              <w:t>information provided to CRAs in violation Regulation V, 12 C.F.R. 1022.42(a).</w:t>
            </w:r>
          </w:p>
        </w:tc>
        <w:tc>
          <w:tcPr>
            <w:tcW w:w="1350" w:type="dxa"/>
            <w:shd w:val="clear" w:color="auto" w:fill="auto"/>
          </w:tcPr>
          <w:p w:rsidR="0010089B" w:rsidRPr="00EA2DCE" w:rsidRDefault="00C22BCC" w:rsidP="00085D36">
            <w:pPr>
              <w:rPr>
                <w:rFonts w:cs="Times New Roman"/>
              </w:rPr>
            </w:pPr>
            <w:r w:rsidRPr="00EA2DCE">
              <w:rPr>
                <w:rFonts w:cs="Times New Roman"/>
              </w:rPr>
              <w:t>Consent Order</w:t>
            </w:r>
          </w:p>
        </w:tc>
        <w:tc>
          <w:tcPr>
            <w:tcW w:w="1260" w:type="dxa"/>
            <w:shd w:val="clear" w:color="auto" w:fill="auto"/>
          </w:tcPr>
          <w:p w:rsidR="0010089B" w:rsidRPr="00EA2DCE" w:rsidRDefault="00C22BCC">
            <w:pPr>
              <w:rPr>
                <w:rFonts w:cs="Times New Roman"/>
              </w:rPr>
            </w:pPr>
            <w:r w:rsidRPr="00EA2DCE">
              <w:rPr>
                <w:rFonts w:cs="Times New Roman"/>
              </w:rPr>
              <w:t>CFPB</w:t>
            </w:r>
          </w:p>
        </w:tc>
        <w:tc>
          <w:tcPr>
            <w:tcW w:w="1080" w:type="dxa"/>
            <w:shd w:val="clear" w:color="auto" w:fill="auto"/>
          </w:tcPr>
          <w:p w:rsidR="0010089B" w:rsidRPr="00EA2DCE" w:rsidRDefault="00C22BCC">
            <w:pPr>
              <w:rPr>
                <w:rFonts w:cs="Times New Roman"/>
              </w:rPr>
            </w:pPr>
            <w:r w:rsidRPr="00EA2DCE">
              <w:rPr>
                <w:rFonts w:cs="Times New Roman"/>
              </w:rPr>
              <w:t>12/6/18</w:t>
            </w:r>
          </w:p>
        </w:tc>
        <w:tc>
          <w:tcPr>
            <w:tcW w:w="2880" w:type="dxa"/>
            <w:shd w:val="clear" w:color="auto" w:fill="auto"/>
          </w:tcPr>
          <w:p w:rsidR="00C22BCC" w:rsidRPr="00EA2DCE" w:rsidRDefault="00C22BCC" w:rsidP="00C22BCC">
            <w:pPr>
              <w:rPr>
                <w:rFonts w:cs="Times New Roman"/>
              </w:rPr>
            </w:pPr>
            <w:r w:rsidRPr="00EA2DCE">
              <w:rPr>
                <w:rFonts w:cs="Times New Roman"/>
              </w:rPr>
              <w:t>State Farm Bank must:</w:t>
            </w:r>
          </w:p>
          <w:p w:rsidR="00C22BCC" w:rsidRPr="00EA2DCE" w:rsidRDefault="00C22BCC" w:rsidP="00C22BCC">
            <w:pPr>
              <w:pStyle w:val="ListParagraph"/>
              <w:numPr>
                <w:ilvl w:val="0"/>
                <w:numId w:val="10"/>
              </w:numPr>
              <w:rPr>
                <w:rFonts w:cs="Times New Roman"/>
              </w:rPr>
            </w:pPr>
            <w:r w:rsidRPr="00EA2DCE">
              <w:rPr>
                <w:rFonts w:cs="Times New Roman"/>
              </w:rPr>
              <w:t xml:space="preserve">Not violate the Fair Credit Reporting Act or Regulation V </w:t>
            </w:r>
          </w:p>
          <w:p w:rsidR="0010089B" w:rsidRPr="00EA2DCE" w:rsidRDefault="00C22BCC" w:rsidP="00C22BCC">
            <w:pPr>
              <w:pStyle w:val="ListParagraph"/>
              <w:numPr>
                <w:ilvl w:val="0"/>
                <w:numId w:val="10"/>
              </w:numPr>
              <w:rPr>
                <w:rFonts w:cs="Times New Roman"/>
              </w:rPr>
            </w:pPr>
            <w:r w:rsidRPr="00EA2DCE">
              <w:rPr>
                <w:rFonts w:cs="Times New Roman"/>
              </w:rPr>
              <w:t>Implement and maintain reasonable written policies, procedures, and processes to address the practices at issue in the consent order, and prevent future violations.</w:t>
            </w:r>
          </w:p>
        </w:tc>
      </w:tr>
      <w:tr w:rsidR="00BB001D" w:rsidRPr="00EA2DCE" w:rsidTr="00403C5F">
        <w:trPr>
          <w:trHeight w:val="1628"/>
        </w:trPr>
        <w:tc>
          <w:tcPr>
            <w:tcW w:w="1620" w:type="dxa"/>
            <w:shd w:val="clear" w:color="auto" w:fill="auto"/>
          </w:tcPr>
          <w:p w:rsidR="00BB001D" w:rsidRPr="00EA2DCE" w:rsidRDefault="00DE7A21">
            <w:pPr>
              <w:rPr>
                <w:rFonts w:cs="Times New Roman"/>
              </w:rPr>
            </w:pPr>
            <w:hyperlink r:id="rId10" w:history="1">
              <w:r w:rsidR="0010089B" w:rsidRPr="00EA2DCE">
                <w:rPr>
                  <w:rStyle w:val="Hyperlink"/>
                  <w:rFonts w:cs="Times New Roman"/>
                </w:rPr>
                <w:t>UDAAP</w:t>
              </w:r>
            </w:hyperlink>
          </w:p>
        </w:tc>
        <w:tc>
          <w:tcPr>
            <w:tcW w:w="1890" w:type="dxa"/>
            <w:shd w:val="clear" w:color="auto" w:fill="auto"/>
          </w:tcPr>
          <w:p w:rsidR="00BB001D" w:rsidRPr="00EA2DCE" w:rsidRDefault="00BB001D" w:rsidP="0010089B">
            <w:pPr>
              <w:rPr>
                <w:rFonts w:cs="Times New Roman"/>
              </w:rPr>
            </w:pPr>
            <w:r w:rsidRPr="00EA2DCE">
              <w:rPr>
                <w:rFonts w:cs="Times New Roman"/>
              </w:rPr>
              <w:t>Village</w:t>
            </w:r>
            <w:r w:rsidR="0010089B" w:rsidRPr="00EA2DCE">
              <w:rPr>
                <w:rFonts w:cs="Times New Roman"/>
              </w:rPr>
              <w:t xml:space="preserve"> Capital and Investment, LLC.</w:t>
            </w:r>
          </w:p>
          <w:p w:rsidR="009E6342" w:rsidRPr="00EA2DCE" w:rsidRDefault="009E6342" w:rsidP="0010089B">
            <w:pPr>
              <w:rPr>
                <w:rFonts w:cs="Times New Roman"/>
              </w:rPr>
            </w:pPr>
            <w:r w:rsidRPr="00EA2DCE">
              <w:rPr>
                <w:rFonts w:cs="Times New Roman"/>
              </w:rPr>
              <w:t>(Henderson, NV)</w:t>
            </w:r>
          </w:p>
          <w:p w:rsidR="0010089B" w:rsidRPr="00EA2DCE" w:rsidRDefault="0010089B" w:rsidP="0010089B">
            <w:pPr>
              <w:rPr>
                <w:rFonts w:cs="Times New Roman"/>
              </w:rPr>
            </w:pPr>
          </w:p>
        </w:tc>
        <w:tc>
          <w:tcPr>
            <w:tcW w:w="4410" w:type="dxa"/>
            <w:shd w:val="clear" w:color="auto" w:fill="auto"/>
          </w:tcPr>
          <w:p w:rsidR="00BB001D" w:rsidRPr="00EA2DCE" w:rsidRDefault="0010089B" w:rsidP="0010089B">
            <w:pPr>
              <w:pStyle w:val="ListParagraph"/>
              <w:numPr>
                <w:ilvl w:val="0"/>
                <w:numId w:val="1"/>
              </w:numPr>
              <w:rPr>
                <w:rFonts w:cs="Times New Roman"/>
              </w:rPr>
            </w:pPr>
            <w:r w:rsidRPr="00EA2DCE">
              <w:rPr>
                <w:rFonts w:cs="Times New Roman"/>
              </w:rPr>
              <w:t>Misled veterans regarding its Interest Rate Reduction Refinancing Loans—loans that allow veterans to refinance their mortgages at lower interest rates with a loan guaranteed by the Department of Veterans Affairs. Specifically, the Bureau alleges that Village Capital misled veterans by overstating the benefits of refinancing.</w:t>
            </w:r>
          </w:p>
        </w:tc>
        <w:tc>
          <w:tcPr>
            <w:tcW w:w="1350" w:type="dxa"/>
            <w:shd w:val="clear" w:color="auto" w:fill="auto"/>
          </w:tcPr>
          <w:p w:rsidR="00BB001D" w:rsidRPr="00EA2DCE" w:rsidRDefault="0010089B" w:rsidP="00085D36">
            <w:pPr>
              <w:rPr>
                <w:rFonts w:cs="Times New Roman"/>
              </w:rPr>
            </w:pPr>
            <w:r w:rsidRPr="00EA2DCE">
              <w:rPr>
                <w:rFonts w:cs="Times New Roman"/>
              </w:rPr>
              <w:t>Complaint/Proposed Stipulation- Pending</w:t>
            </w:r>
          </w:p>
        </w:tc>
        <w:tc>
          <w:tcPr>
            <w:tcW w:w="1260" w:type="dxa"/>
            <w:shd w:val="clear" w:color="auto" w:fill="auto"/>
          </w:tcPr>
          <w:p w:rsidR="00BB001D" w:rsidRPr="00EA2DCE" w:rsidRDefault="0010089B">
            <w:pPr>
              <w:rPr>
                <w:rFonts w:cs="Times New Roman"/>
              </w:rPr>
            </w:pPr>
            <w:r w:rsidRPr="00EA2DCE">
              <w:rPr>
                <w:rFonts w:cs="Times New Roman"/>
              </w:rPr>
              <w:t>CFPB</w:t>
            </w:r>
          </w:p>
        </w:tc>
        <w:tc>
          <w:tcPr>
            <w:tcW w:w="1080" w:type="dxa"/>
            <w:shd w:val="clear" w:color="auto" w:fill="auto"/>
          </w:tcPr>
          <w:p w:rsidR="00BB001D" w:rsidRPr="00EA2DCE" w:rsidRDefault="0010089B">
            <w:pPr>
              <w:rPr>
                <w:rFonts w:cs="Times New Roman"/>
              </w:rPr>
            </w:pPr>
            <w:r w:rsidRPr="00EA2DCE">
              <w:rPr>
                <w:rFonts w:cs="Times New Roman"/>
              </w:rPr>
              <w:t>12/4/18</w:t>
            </w:r>
          </w:p>
        </w:tc>
        <w:tc>
          <w:tcPr>
            <w:tcW w:w="2880" w:type="dxa"/>
            <w:shd w:val="clear" w:color="auto" w:fill="auto"/>
          </w:tcPr>
          <w:p w:rsidR="0010089B" w:rsidRPr="00EA2DCE" w:rsidRDefault="0010089B" w:rsidP="0010089B">
            <w:pPr>
              <w:rPr>
                <w:rFonts w:cs="Times New Roman"/>
                <w:b/>
              </w:rPr>
            </w:pPr>
            <w:r w:rsidRPr="00EA2DCE">
              <w:rPr>
                <w:rFonts w:cs="Times New Roman"/>
                <w:u w:val="single"/>
              </w:rPr>
              <w:t>If entered by the court</w:t>
            </w:r>
            <w:r w:rsidRPr="00EA2DCE">
              <w:rPr>
                <w:rFonts w:cs="Times New Roman"/>
                <w:b/>
              </w:rPr>
              <w:t>:</w:t>
            </w:r>
          </w:p>
          <w:p w:rsidR="0010089B" w:rsidRPr="00EA2DCE" w:rsidRDefault="0010089B" w:rsidP="00EA2DCE">
            <w:pPr>
              <w:rPr>
                <w:rFonts w:cs="Times New Roman"/>
              </w:rPr>
            </w:pPr>
            <w:r w:rsidRPr="00EA2DCE">
              <w:rPr>
                <w:rFonts w:cs="Times New Roman"/>
              </w:rPr>
              <w:t xml:space="preserve">Restitution: $268,869 </w:t>
            </w:r>
          </w:p>
          <w:p w:rsidR="0010089B" w:rsidRPr="00EA2DCE" w:rsidRDefault="0010089B" w:rsidP="00EA2DCE">
            <w:pPr>
              <w:rPr>
                <w:rFonts w:cs="Times New Roman"/>
              </w:rPr>
            </w:pPr>
            <w:r w:rsidRPr="00EA2DCE">
              <w:rPr>
                <w:rFonts w:cs="Times New Roman"/>
              </w:rPr>
              <w:t xml:space="preserve">CMP: $260,000. </w:t>
            </w:r>
          </w:p>
          <w:p w:rsidR="00BB001D" w:rsidRPr="00EA2DCE" w:rsidRDefault="0010089B" w:rsidP="0010089B">
            <w:pPr>
              <w:pStyle w:val="ListParagraph"/>
              <w:numPr>
                <w:ilvl w:val="0"/>
                <w:numId w:val="1"/>
              </w:numPr>
              <w:rPr>
                <w:rFonts w:cs="Times New Roman"/>
              </w:rPr>
            </w:pPr>
            <w:r w:rsidRPr="00EA2DCE">
              <w:rPr>
                <w:rFonts w:cs="Times New Roman"/>
              </w:rPr>
              <w:t>Prohibit Village Capital from misrepresenting the terms or benefits of mortgage refinancing.</w:t>
            </w:r>
          </w:p>
        </w:tc>
      </w:tr>
      <w:tr w:rsidR="009E6342" w:rsidRPr="00EA2DCE" w:rsidTr="00403C5F">
        <w:trPr>
          <w:trHeight w:val="1367"/>
        </w:trPr>
        <w:tc>
          <w:tcPr>
            <w:tcW w:w="1620" w:type="dxa"/>
            <w:shd w:val="clear" w:color="auto" w:fill="auto"/>
          </w:tcPr>
          <w:p w:rsidR="009E6342" w:rsidRPr="00EA2DCE" w:rsidRDefault="00DE7A21">
            <w:pPr>
              <w:rPr>
                <w:rFonts w:cs="Times New Roman"/>
              </w:rPr>
            </w:pPr>
            <w:hyperlink r:id="rId11" w:history="1">
              <w:r w:rsidR="009E6342" w:rsidRPr="00EA2DCE">
                <w:rPr>
                  <w:rStyle w:val="Hyperlink"/>
                  <w:rFonts w:cs="Times New Roman"/>
                </w:rPr>
                <w:t>Flood</w:t>
              </w:r>
            </w:hyperlink>
          </w:p>
        </w:tc>
        <w:tc>
          <w:tcPr>
            <w:tcW w:w="1890" w:type="dxa"/>
            <w:shd w:val="clear" w:color="auto" w:fill="auto"/>
          </w:tcPr>
          <w:p w:rsidR="009E6342" w:rsidRPr="00EA2DCE" w:rsidRDefault="009E6342" w:rsidP="003E61C0">
            <w:pPr>
              <w:rPr>
                <w:rFonts w:cs="Times New Roman"/>
              </w:rPr>
            </w:pPr>
            <w:proofErr w:type="spellStart"/>
            <w:r w:rsidRPr="00EA2DCE">
              <w:rPr>
                <w:rFonts w:cs="Times New Roman"/>
              </w:rPr>
              <w:t>MyBank</w:t>
            </w:r>
            <w:proofErr w:type="spellEnd"/>
          </w:p>
          <w:p w:rsidR="009E6342" w:rsidRPr="00EA2DCE" w:rsidRDefault="009E6342" w:rsidP="003E61C0">
            <w:pPr>
              <w:rPr>
                <w:rFonts w:cs="Times New Roman"/>
              </w:rPr>
            </w:pPr>
            <w:r w:rsidRPr="00EA2DCE">
              <w:rPr>
                <w:rFonts w:cs="Times New Roman"/>
              </w:rPr>
              <w:t>(Belen, NM)</w:t>
            </w:r>
          </w:p>
        </w:tc>
        <w:tc>
          <w:tcPr>
            <w:tcW w:w="4410" w:type="dxa"/>
            <w:shd w:val="clear" w:color="auto" w:fill="auto"/>
          </w:tcPr>
          <w:p w:rsidR="009E6342" w:rsidRPr="00EA2DCE" w:rsidRDefault="009E6342" w:rsidP="009E6342">
            <w:pPr>
              <w:pStyle w:val="ListParagraph"/>
              <w:numPr>
                <w:ilvl w:val="0"/>
                <w:numId w:val="1"/>
              </w:numPr>
              <w:rPr>
                <w:rFonts w:cs="Times New Roman"/>
              </w:rPr>
            </w:pPr>
            <w:r w:rsidRPr="00EA2DCE">
              <w:rPr>
                <w:rFonts w:cs="Times New Roman"/>
              </w:rPr>
              <w:t>Pattern or practice of violations of Regulation H, 12 C.F.R. § 208.25, that implements the requirements of the National Flood Insurance Act.</w:t>
            </w:r>
          </w:p>
        </w:tc>
        <w:tc>
          <w:tcPr>
            <w:tcW w:w="1350" w:type="dxa"/>
            <w:shd w:val="clear" w:color="auto" w:fill="auto"/>
          </w:tcPr>
          <w:p w:rsidR="009E6342" w:rsidRPr="00EA2DCE" w:rsidRDefault="009E6342" w:rsidP="00085D36">
            <w:pPr>
              <w:rPr>
                <w:rFonts w:cs="Times New Roman"/>
              </w:rPr>
            </w:pPr>
            <w:r w:rsidRPr="00EA2DCE">
              <w:rPr>
                <w:rFonts w:cs="Times New Roman"/>
              </w:rPr>
              <w:t>CMP</w:t>
            </w:r>
          </w:p>
        </w:tc>
        <w:tc>
          <w:tcPr>
            <w:tcW w:w="1260" w:type="dxa"/>
            <w:shd w:val="clear" w:color="auto" w:fill="auto"/>
          </w:tcPr>
          <w:p w:rsidR="009E6342" w:rsidRPr="00EA2DCE" w:rsidRDefault="009E6342">
            <w:pPr>
              <w:rPr>
                <w:rFonts w:cs="Times New Roman"/>
              </w:rPr>
            </w:pPr>
            <w:r w:rsidRPr="00EA2DCE">
              <w:rPr>
                <w:rFonts w:cs="Times New Roman"/>
              </w:rPr>
              <w:t>FRB</w:t>
            </w:r>
          </w:p>
        </w:tc>
        <w:tc>
          <w:tcPr>
            <w:tcW w:w="1080" w:type="dxa"/>
            <w:shd w:val="clear" w:color="auto" w:fill="auto"/>
          </w:tcPr>
          <w:p w:rsidR="009E6342" w:rsidRPr="00EA2DCE" w:rsidRDefault="009E6342">
            <w:pPr>
              <w:rPr>
                <w:rFonts w:cs="Times New Roman"/>
              </w:rPr>
            </w:pPr>
            <w:r w:rsidRPr="00EA2DCE">
              <w:rPr>
                <w:rFonts w:cs="Times New Roman"/>
              </w:rPr>
              <w:t>11/26/18</w:t>
            </w:r>
          </w:p>
        </w:tc>
        <w:tc>
          <w:tcPr>
            <w:tcW w:w="2880" w:type="dxa"/>
            <w:shd w:val="clear" w:color="auto" w:fill="auto"/>
          </w:tcPr>
          <w:p w:rsidR="009E6342" w:rsidRPr="00EA2DCE" w:rsidRDefault="009E6342" w:rsidP="00EA2DCE">
            <w:pPr>
              <w:rPr>
                <w:rFonts w:cs="Times New Roman"/>
              </w:rPr>
            </w:pPr>
            <w:r w:rsidRPr="00EA2DCE">
              <w:rPr>
                <w:rFonts w:cs="Times New Roman"/>
              </w:rPr>
              <w:t>CMP: $49,000</w:t>
            </w:r>
          </w:p>
        </w:tc>
      </w:tr>
      <w:tr w:rsidR="00CD7F5C" w:rsidRPr="00EA2DCE" w:rsidTr="00403C5F">
        <w:trPr>
          <w:trHeight w:val="3608"/>
        </w:trPr>
        <w:tc>
          <w:tcPr>
            <w:tcW w:w="1620" w:type="dxa"/>
            <w:shd w:val="clear" w:color="auto" w:fill="auto"/>
          </w:tcPr>
          <w:p w:rsidR="00CD7F5C" w:rsidRPr="00EA2DCE" w:rsidRDefault="00DE7A21">
            <w:pPr>
              <w:rPr>
                <w:rFonts w:cs="Times New Roman"/>
              </w:rPr>
            </w:pPr>
            <w:hyperlink r:id="rId12" w:history="1">
              <w:r w:rsidR="00BB001D" w:rsidRPr="00EA2DCE">
                <w:rPr>
                  <w:rStyle w:val="Hyperlink"/>
                  <w:rFonts w:cs="Times New Roman"/>
                </w:rPr>
                <w:t>UDAAP</w:t>
              </w:r>
            </w:hyperlink>
          </w:p>
        </w:tc>
        <w:tc>
          <w:tcPr>
            <w:tcW w:w="1890" w:type="dxa"/>
            <w:shd w:val="clear" w:color="auto" w:fill="auto"/>
          </w:tcPr>
          <w:p w:rsidR="00CD7F5C" w:rsidRPr="00EA2DCE" w:rsidRDefault="00CD7F5C" w:rsidP="003E61C0">
            <w:pPr>
              <w:rPr>
                <w:rFonts w:cs="Times New Roman"/>
              </w:rPr>
            </w:pPr>
            <w:r w:rsidRPr="00EA2DCE">
              <w:rPr>
                <w:rFonts w:cs="Times New Roman"/>
              </w:rPr>
              <w:t>Santander Consumer USA, Inc.</w:t>
            </w:r>
          </w:p>
          <w:p w:rsidR="00CD7F5C" w:rsidRPr="00EA2DCE" w:rsidRDefault="00CD7F5C" w:rsidP="003E61C0">
            <w:pPr>
              <w:rPr>
                <w:rFonts w:cs="Times New Roman"/>
              </w:rPr>
            </w:pPr>
            <w:r w:rsidRPr="00EA2DCE">
              <w:rPr>
                <w:rFonts w:cs="Times New Roman"/>
              </w:rPr>
              <w:t>(Dallas, TX)</w:t>
            </w:r>
          </w:p>
        </w:tc>
        <w:tc>
          <w:tcPr>
            <w:tcW w:w="4410" w:type="dxa"/>
            <w:shd w:val="clear" w:color="auto" w:fill="auto"/>
          </w:tcPr>
          <w:p w:rsidR="00BB001D" w:rsidRPr="00EA2DCE" w:rsidRDefault="00BB001D" w:rsidP="00CD7F5C">
            <w:pPr>
              <w:pStyle w:val="ListParagraph"/>
              <w:numPr>
                <w:ilvl w:val="0"/>
                <w:numId w:val="1"/>
              </w:numPr>
              <w:rPr>
                <w:rFonts w:cs="Times New Roman"/>
                <w:color w:val="000000"/>
                <w:lang w:val="en"/>
              </w:rPr>
            </w:pPr>
            <w:r w:rsidRPr="00EA2DCE">
              <w:rPr>
                <w:rFonts w:cs="Times New Roman"/>
              </w:rPr>
              <w:t xml:space="preserve">Engaged in deceptive acts and practices in marketing its S-GUARD GAP add-on product, in violation of sections 1031 and 1036 of the Consumer Financial Protection Act of 2010 (CFPA), 12 U.S.C. §§ 5531, 5536; </w:t>
            </w:r>
          </w:p>
          <w:p w:rsidR="00CD7F5C" w:rsidRPr="00EA2DCE" w:rsidRDefault="00BB001D" w:rsidP="00BB001D">
            <w:pPr>
              <w:pStyle w:val="ListParagraph"/>
              <w:numPr>
                <w:ilvl w:val="0"/>
                <w:numId w:val="1"/>
              </w:numPr>
              <w:rPr>
                <w:rFonts w:cs="Times New Roman"/>
                <w:color w:val="000000"/>
                <w:lang w:val="en"/>
              </w:rPr>
            </w:pPr>
            <w:r w:rsidRPr="00EA2DCE">
              <w:rPr>
                <w:rFonts w:cs="Times New Roman"/>
              </w:rPr>
              <w:t>Misrepresented to consumers the impact of receiving a loan extension, including by obscuring that the additional interest accruing during the extension period would become due immediately upon the next scheduled payment, in violation of sections 1031 and 1036 of the CFPA, 12 U.S.C. §§ 5531, 5536.</w:t>
            </w:r>
          </w:p>
        </w:tc>
        <w:tc>
          <w:tcPr>
            <w:tcW w:w="1350" w:type="dxa"/>
            <w:shd w:val="clear" w:color="auto" w:fill="auto"/>
          </w:tcPr>
          <w:p w:rsidR="00CD7F5C" w:rsidRPr="00EA2DCE" w:rsidRDefault="00BB001D" w:rsidP="00085D36">
            <w:pPr>
              <w:rPr>
                <w:rFonts w:cs="Times New Roman"/>
              </w:rPr>
            </w:pPr>
            <w:r w:rsidRPr="00EA2DCE">
              <w:rPr>
                <w:rFonts w:cs="Times New Roman"/>
              </w:rPr>
              <w:t>Consent Order</w:t>
            </w:r>
          </w:p>
        </w:tc>
        <w:tc>
          <w:tcPr>
            <w:tcW w:w="1260" w:type="dxa"/>
            <w:shd w:val="clear" w:color="auto" w:fill="auto"/>
          </w:tcPr>
          <w:p w:rsidR="00CD7F5C" w:rsidRPr="00EA2DCE" w:rsidRDefault="00CD7F5C">
            <w:pPr>
              <w:rPr>
                <w:rFonts w:cs="Times New Roman"/>
              </w:rPr>
            </w:pPr>
            <w:r w:rsidRPr="00EA2DCE">
              <w:rPr>
                <w:rFonts w:cs="Times New Roman"/>
              </w:rPr>
              <w:t>CFPB</w:t>
            </w:r>
          </w:p>
        </w:tc>
        <w:tc>
          <w:tcPr>
            <w:tcW w:w="1080" w:type="dxa"/>
            <w:shd w:val="clear" w:color="auto" w:fill="auto"/>
          </w:tcPr>
          <w:p w:rsidR="00CD7F5C" w:rsidRPr="00EA2DCE" w:rsidRDefault="00CD7F5C">
            <w:pPr>
              <w:rPr>
                <w:rFonts w:cs="Times New Roman"/>
              </w:rPr>
            </w:pPr>
            <w:r w:rsidRPr="00EA2DCE">
              <w:rPr>
                <w:rFonts w:cs="Times New Roman"/>
              </w:rPr>
              <w:t>11/7/18</w:t>
            </w:r>
          </w:p>
        </w:tc>
        <w:tc>
          <w:tcPr>
            <w:tcW w:w="2880" w:type="dxa"/>
            <w:shd w:val="clear" w:color="auto" w:fill="auto"/>
          </w:tcPr>
          <w:p w:rsidR="00EA2DCE" w:rsidRPr="00EA2DCE" w:rsidRDefault="00EA2DCE" w:rsidP="00EA2DCE">
            <w:pPr>
              <w:pStyle w:val="ListParagraph"/>
              <w:numPr>
                <w:ilvl w:val="0"/>
                <w:numId w:val="11"/>
              </w:numPr>
              <w:rPr>
                <w:rFonts w:cs="Times New Roman"/>
              </w:rPr>
            </w:pPr>
            <w:r w:rsidRPr="00EA2DCE">
              <w:rPr>
                <w:rFonts w:cs="Times New Roman"/>
              </w:rPr>
              <w:t>Clearly and prominently disclose the terms of its loan extensions and the add-on product</w:t>
            </w:r>
            <w:r>
              <w:rPr>
                <w:rFonts w:cs="Times New Roman"/>
              </w:rPr>
              <w:t>;</w:t>
            </w:r>
          </w:p>
          <w:p w:rsidR="00EA2DCE" w:rsidRDefault="00EA2DCE" w:rsidP="00EA2DCE">
            <w:pPr>
              <w:rPr>
                <w:rFonts w:cs="Times New Roman"/>
              </w:rPr>
            </w:pPr>
          </w:p>
          <w:p w:rsidR="00CD7F5C" w:rsidRPr="00EA2DCE" w:rsidRDefault="00CD7F5C" w:rsidP="00EA2DCE">
            <w:pPr>
              <w:rPr>
                <w:rFonts w:cs="Times New Roman"/>
              </w:rPr>
            </w:pPr>
            <w:r w:rsidRPr="00EA2DCE">
              <w:rPr>
                <w:rFonts w:cs="Times New Roman"/>
              </w:rPr>
              <w:t>CMP: $2.5 million</w:t>
            </w:r>
          </w:p>
          <w:p w:rsidR="00EA2DCE" w:rsidRDefault="00EA2DCE" w:rsidP="00EA2DCE">
            <w:pPr>
              <w:rPr>
                <w:rFonts w:cs="Times New Roman"/>
              </w:rPr>
            </w:pPr>
          </w:p>
          <w:p w:rsidR="00CD7F5C" w:rsidRPr="00EA2DCE" w:rsidRDefault="00CD7F5C" w:rsidP="00EA2DCE">
            <w:pPr>
              <w:rPr>
                <w:rFonts w:cs="Times New Roman"/>
              </w:rPr>
            </w:pPr>
            <w:r w:rsidRPr="00EA2DCE">
              <w:rPr>
                <w:rFonts w:cs="Times New Roman"/>
              </w:rPr>
              <w:t>Restitution: $9.29 million to certain consumers w</w:t>
            </w:r>
            <w:r w:rsidR="00EA2DCE">
              <w:rPr>
                <w:rFonts w:cs="Times New Roman"/>
              </w:rPr>
              <w:t>ho purchased the add-on product.</w:t>
            </w:r>
          </w:p>
          <w:p w:rsidR="00CD7F5C" w:rsidRPr="00EA2DCE" w:rsidRDefault="00CD7F5C" w:rsidP="00EA2DCE">
            <w:pPr>
              <w:rPr>
                <w:rFonts w:cs="Times New Roman"/>
              </w:rPr>
            </w:pPr>
          </w:p>
        </w:tc>
      </w:tr>
      <w:tr w:rsidR="003E61C0" w:rsidRPr="00EA2DCE" w:rsidTr="00403C5F">
        <w:trPr>
          <w:trHeight w:val="1268"/>
        </w:trPr>
        <w:tc>
          <w:tcPr>
            <w:tcW w:w="1620" w:type="dxa"/>
            <w:shd w:val="clear" w:color="auto" w:fill="auto"/>
          </w:tcPr>
          <w:p w:rsidR="003E61C0" w:rsidRPr="00EA2DCE" w:rsidRDefault="00DE7A21">
            <w:pPr>
              <w:rPr>
                <w:rFonts w:cs="Times New Roman"/>
              </w:rPr>
            </w:pPr>
            <w:hyperlink r:id="rId13" w:history="1">
              <w:r w:rsidR="003E61C0" w:rsidRPr="00EA2DCE">
                <w:rPr>
                  <w:rStyle w:val="Hyperlink"/>
                  <w:rFonts w:cs="Times New Roman"/>
                </w:rPr>
                <w:t>Flood</w:t>
              </w:r>
            </w:hyperlink>
          </w:p>
        </w:tc>
        <w:tc>
          <w:tcPr>
            <w:tcW w:w="1890" w:type="dxa"/>
            <w:shd w:val="clear" w:color="auto" w:fill="auto"/>
          </w:tcPr>
          <w:p w:rsidR="003E61C0" w:rsidRPr="00EA2DCE" w:rsidRDefault="003E61C0" w:rsidP="003E61C0">
            <w:pPr>
              <w:rPr>
                <w:rFonts w:cs="Times New Roman"/>
              </w:rPr>
            </w:pPr>
            <w:r w:rsidRPr="00EA2DCE">
              <w:rPr>
                <w:rFonts w:cs="Times New Roman"/>
              </w:rPr>
              <w:t>The First State Bank Of Dongola,  (Dongola, IL)</w:t>
            </w:r>
          </w:p>
        </w:tc>
        <w:tc>
          <w:tcPr>
            <w:tcW w:w="4410" w:type="dxa"/>
            <w:shd w:val="clear" w:color="auto" w:fill="auto"/>
          </w:tcPr>
          <w:p w:rsidR="003E61C0" w:rsidRPr="00EA2DCE" w:rsidRDefault="003E61C0" w:rsidP="003E61C0">
            <w:pPr>
              <w:pStyle w:val="ListParagraph"/>
              <w:numPr>
                <w:ilvl w:val="0"/>
                <w:numId w:val="1"/>
              </w:numPr>
              <w:rPr>
                <w:rFonts w:cs="Times New Roman"/>
                <w:color w:val="000000"/>
                <w:lang w:val="en"/>
              </w:rPr>
            </w:pPr>
            <w:r w:rsidRPr="00EA2DCE">
              <w:rPr>
                <w:rFonts w:cs="Times New Roman"/>
                <w:color w:val="000000"/>
                <w:lang w:val="en"/>
              </w:rPr>
              <w:t>A pattern or practice of violations of Regulation H, 12 C.F.R.§ 208.25, that implements the requirements of the Act</w:t>
            </w:r>
          </w:p>
        </w:tc>
        <w:tc>
          <w:tcPr>
            <w:tcW w:w="1350" w:type="dxa"/>
            <w:shd w:val="clear" w:color="auto" w:fill="auto"/>
          </w:tcPr>
          <w:p w:rsidR="003E61C0" w:rsidRPr="00EA2DCE" w:rsidRDefault="003E61C0" w:rsidP="00085D36">
            <w:pPr>
              <w:rPr>
                <w:rFonts w:cs="Times New Roman"/>
              </w:rPr>
            </w:pPr>
            <w:r w:rsidRPr="00EA2DCE">
              <w:rPr>
                <w:rFonts w:cs="Times New Roman"/>
              </w:rPr>
              <w:t>CMP</w:t>
            </w:r>
          </w:p>
        </w:tc>
        <w:tc>
          <w:tcPr>
            <w:tcW w:w="1260" w:type="dxa"/>
            <w:shd w:val="clear" w:color="auto" w:fill="auto"/>
          </w:tcPr>
          <w:p w:rsidR="003E61C0" w:rsidRPr="00EA2DCE" w:rsidRDefault="003E61C0">
            <w:pPr>
              <w:rPr>
                <w:rFonts w:cs="Times New Roman"/>
              </w:rPr>
            </w:pPr>
            <w:r w:rsidRPr="00EA2DCE">
              <w:rPr>
                <w:rFonts w:cs="Times New Roman"/>
              </w:rPr>
              <w:t>FRB</w:t>
            </w:r>
          </w:p>
        </w:tc>
        <w:tc>
          <w:tcPr>
            <w:tcW w:w="1080" w:type="dxa"/>
            <w:shd w:val="clear" w:color="auto" w:fill="auto"/>
          </w:tcPr>
          <w:p w:rsidR="003E61C0" w:rsidRPr="00EA2DCE" w:rsidRDefault="003E61C0">
            <w:pPr>
              <w:rPr>
                <w:rFonts w:cs="Times New Roman"/>
              </w:rPr>
            </w:pPr>
            <w:r w:rsidRPr="00EA2DCE">
              <w:rPr>
                <w:rFonts w:cs="Times New Roman"/>
              </w:rPr>
              <w:t>11/7/18</w:t>
            </w:r>
          </w:p>
        </w:tc>
        <w:tc>
          <w:tcPr>
            <w:tcW w:w="2880" w:type="dxa"/>
            <w:shd w:val="clear" w:color="auto" w:fill="auto"/>
          </w:tcPr>
          <w:p w:rsidR="003E61C0" w:rsidRPr="00EA2DCE" w:rsidRDefault="003E61C0" w:rsidP="00EA2DCE">
            <w:pPr>
              <w:rPr>
                <w:rFonts w:cs="Times New Roman"/>
              </w:rPr>
            </w:pPr>
            <w:r w:rsidRPr="00EA2DCE">
              <w:rPr>
                <w:rFonts w:cs="Times New Roman"/>
              </w:rPr>
              <w:t>CMP: $15,000</w:t>
            </w:r>
          </w:p>
        </w:tc>
      </w:tr>
      <w:tr w:rsidR="00C54BEA" w:rsidRPr="00EA2DCE" w:rsidTr="00403C5F">
        <w:trPr>
          <w:trHeight w:val="5138"/>
        </w:trPr>
        <w:tc>
          <w:tcPr>
            <w:tcW w:w="1620" w:type="dxa"/>
            <w:shd w:val="clear" w:color="auto" w:fill="auto"/>
          </w:tcPr>
          <w:p w:rsidR="00C54BEA" w:rsidRPr="00EA2DCE" w:rsidRDefault="00DE7A21">
            <w:pPr>
              <w:rPr>
                <w:rFonts w:cs="Times New Roman"/>
              </w:rPr>
            </w:pPr>
            <w:hyperlink r:id="rId14" w:history="1">
              <w:r w:rsidR="00C54BEA" w:rsidRPr="00EA2DCE">
                <w:rPr>
                  <w:rStyle w:val="Hyperlink"/>
                  <w:rFonts w:cs="Times New Roman"/>
                </w:rPr>
                <w:t>UDAAP</w:t>
              </w:r>
            </w:hyperlink>
          </w:p>
        </w:tc>
        <w:tc>
          <w:tcPr>
            <w:tcW w:w="1890" w:type="dxa"/>
            <w:shd w:val="clear" w:color="auto" w:fill="auto"/>
          </w:tcPr>
          <w:p w:rsidR="00C54BEA" w:rsidRPr="00EA2DCE" w:rsidRDefault="00C54BEA" w:rsidP="00DC44AD">
            <w:pPr>
              <w:rPr>
                <w:rFonts w:cs="Times New Roman"/>
              </w:rPr>
            </w:pPr>
            <w:r w:rsidRPr="00EA2DCE">
              <w:rPr>
                <w:rFonts w:cs="Times New Roman"/>
              </w:rPr>
              <w:t>Cash Express, LLC</w:t>
            </w:r>
          </w:p>
          <w:p w:rsidR="00C54BEA" w:rsidRPr="00EA2DCE" w:rsidRDefault="00C54BEA" w:rsidP="00DC44AD">
            <w:pPr>
              <w:rPr>
                <w:rFonts w:cs="Times New Roman"/>
              </w:rPr>
            </w:pPr>
            <w:r w:rsidRPr="00EA2DCE">
              <w:rPr>
                <w:rFonts w:cs="Times New Roman"/>
              </w:rPr>
              <w:t>(Cookeville, TN)</w:t>
            </w:r>
          </w:p>
        </w:tc>
        <w:tc>
          <w:tcPr>
            <w:tcW w:w="4410" w:type="dxa"/>
            <w:shd w:val="clear" w:color="auto" w:fill="auto"/>
          </w:tcPr>
          <w:p w:rsidR="00C54BEA" w:rsidRPr="00EA2DCE" w:rsidRDefault="00463DDD" w:rsidP="00C54BEA">
            <w:pPr>
              <w:pStyle w:val="ListParagraph"/>
              <w:numPr>
                <w:ilvl w:val="0"/>
                <w:numId w:val="1"/>
              </w:numPr>
              <w:rPr>
                <w:rFonts w:cs="Times New Roman"/>
                <w:color w:val="000000"/>
                <w:lang w:val="en"/>
              </w:rPr>
            </w:pPr>
            <w:r w:rsidRPr="00EA2DCE">
              <w:rPr>
                <w:rFonts w:cs="Times New Roman"/>
                <w:color w:val="000000"/>
                <w:lang w:val="en"/>
              </w:rPr>
              <w:t>D</w:t>
            </w:r>
            <w:r w:rsidR="00C54BEA" w:rsidRPr="00EA2DCE">
              <w:rPr>
                <w:rFonts w:cs="Times New Roman"/>
                <w:color w:val="000000"/>
                <w:lang w:val="en"/>
              </w:rPr>
              <w:t xml:space="preserve">eceptively threatened in collection letters that it would take legal action against consumers, even though the debts were past the date for suing on legal claims, and it was not Cash Express’s practice to file lawsuits against these consumers. </w:t>
            </w:r>
          </w:p>
          <w:p w:rsidR="00C54BEA" w:rsidRPr="00EA2DCE" w:rsidRDefault="00C54BEA" w:rsidP="00C54BEA">
            <w:pPr>
              <w:pStyle w:val="ListParagraph"/>
              <w:numPr>
                <w:ilvl w:val="0"/>
                <w:numId w:val="1"/>
              </w:numPr>
              <w:rPr>
                <w:rFonts w:cs="Times New Roman"/>
                <w:color w:val="000000"/>
                <w:lang w:val="en"/>
              </w:rPr>
            </w:pPr>
            <w:r w:rsidRPr="00EA2DCE">
              <w:rPr>
                <w:rFonts w:cs="Times New Roman"/>
                <w:color w:val="000000"/>
                <w:lang w:val="en"/>
              </w:rPr>
              <w:t>Misrepresented that it might report negative credit information to consumer reporting agencies for late or missed payments, when the company did not actually report this information.</w:t>
            </w:r>
          </w:p>
          <w:p w:rsidR="00C54BEA" w:rsidRPr="00EA2DCE" w:rsidRDefault="00463DDD" w:rsidP="00C54BEA">
            <w:pPr>
              <w:pStyle w:val="ListParagraph"/>
              <w:numPr>
                <w:ilvl w:val="0"/>
                <w:numId w:val="1"/>
              </w:numPr>
              <w:rPr>
                <w:rFonts w:cs="Times New Roman"/>
                <w:color w:val="000000"/>
                <w:lang w:val="en"/>
              </w:rPr>
            </w:pPr>
            <w:r w:rsidRPr="00EA2DCE">
              <w:rPr>
                <w:rFonts w:cs="Times New Roman"/>
                <w:color w:val="000000"/>
                <w:lang w:val="en"/>
              </w:rPr>
              <w:t>Abusively withheld</w:t>
            </w:r>
            <w:r w:rsidR="00C54BEA" w:rsidRPr="00EA2DCE">
              <w:rPr>
                <w:rFonts w:cs="Times New Roman"/>
                <w:color w:val="000000"/>
                <w:lang w:val="en"/>
              </w:rPr>
              <w:t xml:space="preserve"> funds during check-cashing transactions to satisfy outstanding amounts on prior loans, without disclosing this practice to the consumer during the initiation of the transaction.</w:t>
            </w:r>
          </w:p>
        </w:tc>
        <w:tc>
          <w:tcPr>
            <w:tcW w:w="1350" w:type="dxa"/>
            <w:shd w:val="clear" w:color="auto" w:fill="auto"/>
          </w:tcPr>
          <w:p w:rsidR="00C54BEA" w:rsidRPr="00EA2DCE" w:rsidRDefault="00463DDD" w:rsidP="00085D36">
            <w:pPr>
              <w:rPr>
                <w:rFonts w:cs="Times New Roman"/>
              </w:rPr>
            </w:pPr>
            <w:r w:rsidRPr="00EA2DCE">
              <w:rPr>
                <w:rFonts w:cs="Times New Roman"/>
              </w:rPr>
              <w:t>Consent Order</w:t>
            </w:r>
          </w:p>
        </w:tc>
        <w:tc>
          <w:tcPr>
            <w:tcW w:w="1260" w:type="dxa"/>
            <w:shd w:val="clear" w:color="auto" w:fill="auto"/>
          </w:tcPr>
          <w:p w:rsidR="00C54BEA" w:rsidRPr="00EA2DCE" w:rsidRDefault="00CD7F5C">
            <w:pPr>
              <w:rPr>
                <w:rFonts w:cs="Times New Roman"/>
              </w:rPr>
            </w:pPr>
            <w:r w:rsidRPr="00EA2DCE">
              <w:rPr>
                <w:rFonts w:cs="Times New Roman"/>
              </w:rPr>
              <w:t>CFPB</w:t>
            </w:r>
          </w:p>
        </w:tc>
        <w:tc>
          <w:tcPr>
            <w:tcW w:w="1080" w:type="dxa"/>
            <w:shd w:val="clear" w:color="auto" w:fill="auto"/>
          </w:tcPr>
          <w:p w:rsidR="00C54BEA" w:rsidRPr="00EA2DCE" w:rsidRDefault="00CD7F5C">
            <w:pPr>
              <w:rPr>
                <w:rFonts w:cs="Times New Roman"/>
              </w:rPr>
            </w:pPr>
            <w:r w:rsidRPr="00EA2DCE">
              <w:rPr>
                <w:rFonts w:cs="Times New Roman"/>
              </w:rPr>
              <w:t>10/24</w:t>
            </w:r>
            <w:r w:rsidR="00463DDD" w:rsidRPr="00EA2DCE">
              <w:rPr>
                <w:rFonts w:cs="Times New Roman"/>
              </w:rPr>
              <w:t>/18</w:t>
            </w:r>
          </w:p>
        </w:tc>
        <w:tc>
          <w:tcPr>
            <w:tcW w:w="2880" w:type="dxa"/>
            <w:shd w:val="clear" w:color="auto" w:fill="auto"/>
          </w:tcPr>
          <w:p w:rsidR="00463DDD" w:rsidRPr="00EA2DCE" w:rsidRDefault="00463DDD" w:rsidP="00463DDD">
            <w:pPr>
              <w:pStyle w:val="ListParagraph"/>
              <w:numPr>
                <w:ilvl w:val="0"/>
                <w:numId w:val="9"/>
              </w:numPr>
              <w:rPr>
                <w:rFonts w:cs="Times New Roman"/>
              </w:rPr>
            </w:pPr>
            <w:r w:rsidRPr="00EA2DCE">
              <w:rPr>
                <w:rFonts w:cs="Times New Roman"/>
              </w:rPr>
              <w:t xml:space="preserve">Barred from automatically taking money from check-cashing transactions unless certain conditions are met. </w:t>
            </w:r>
          </w:p>
          <w:p w:rsidR="00463DDD" w:rsidRPr="00EA2DCE" w:rsidRDefault="00463DDD" w:rsidP="00463DDD">
            <w:pPr>
              <w:pStyle w:val="ListParagraph"/>
              <w:numPr>
                <w:ilvl w:val="0"/>
                <w:numId w:val="9"/>
              </w:numPr>
              <w:rPr>
                <w:rFonts w:cs="Times New Roman"/>
              </w:rPr>
            </w:pPr>
            <w:r w:rsidRPr="00EA2DCE">
              <w:rPr>
                <w:rFonts w:cs="Times New Roman"/>
              </w:rPr>
              <w:t>Cash Express is further barred from making misrepresentations about its consumer reporting activities and its intention or likelihood of filing suit to collect a debt.</w:t>
            </w:r>
          </w:p>
          <w:p w:rsidR="00463DDD" w:rsidRPr="00EA2DCE" w:rsidRDefault="00463DDD" w:rsidP="00463DDD">
            <w:pPr>
              <w:rPr>
                <w:rFonts w:cs="Times New Roman"/>
              </w:rPr>
            </w:pPr>
          </w:p>
          <w:p w:rsidR="00463DDD" w:rsidRPr="00EA2DCE" w:rsidRDefault="00463DDD" w:rsidP="00EA2DCE">
            <w:pPr>
              <w:rPr>
                <w:rFonts w:cs="Times New Roman"/>
              </w:rPr>
            </w:pPr>
            <w:r w:rsidRPr="00EA2DCE">
              <w:rPr>
                <w:rFonts w:cs="Times New Roman"/>
              </w:rPr>
              <w:t xml:space="preserve">Restitution: $32,000 </w:t>
            </w:r>
          </w:p>
          <w:p w:rsidR="00C54BEA" w:rsidRPr="00EA2DCE" w:rsidRDefault="00463DDD" w:rsidP="00EA2DCE">
            <w:pPr>
              <w:rPr>
                <w:rFonts w:cs="Times New Roman"/>
              </w:rPr>
            </w:pPr>
            <w:r w:rsidRPr="00EA2DCE">
              <w:rPr>
                <w:rFonts w:cs="Times New Roman"/>
              </w:rPr>
              <w:t xml:space="preserve">CMP: $200,000 </w:t>
            </w:r>
          </w:p>
        </w:tc>
      </w:tr>
      <w:tr w:rsidR="00403C5F" w:rsidRPr="00EA2DCE" w:rsidTr="00403C5F">
        <w:trPr>
          <w:trHeight w:val="3167"/>
        </w:trPr>
        <w:tc>
          <w:tcPr>
            <w:tcW w:w="1620" w:type="dxa"/>
            <w:shd w:val="clear" w:color="auto" w:fill="auto"/>
          </w:tcPr>
          <w:p w:rsidR="00403C5F" w:rsidRPr="00EA2DCE" w:rsidRDefault="00DE7A21">
            <w:hyperlink r:id="rId15" w:history="1">
              <w:r w:rsidR="00403C5F" w:rsidRPr="00EA2DCE">
                <w:rPr>
                  <w:rStyle w:val="Hyperlink"/>
                  <w:rFonts w:cs="Times New Roman"/>
                </w:rPr>
                <w:t>TILA/ Regulation Z</w:t>
              </w:r>
            </w:hyperlink>
          </w:p>
        </w:tc>
        <w:tc>
          <w:tcPr>
            <w:tcW w:w="1890" w:type="dxa"/>
            <w:shd w:val="clear" w:color="auto" w:fill="auto"/>
          </w:tcPr>
          <w:p w:rsidR="00403C5F" w:rsidRPr="00EA2DCE" w:rsidRDefault="00403C5F" w:rsidP="00403C5F">
            <w:pPr>
              <w:rPr>
                <w:rFonts w:cs="Times New Roman"/>
              </w:rPr>
            </w:pPr>
            <w:r w:rsidRPr="00EA2DCE">
              <w:rPr>
                <w:rFonts w:cs="Times New Roman"/>
              </w:rPr>
              <w:t>Republic Bank and Trust Company</w:t>
            </w:r>
          </w:p>
          <w:p w:rsidR="00403C5F" w:rsidRPr="00EA2DCE" w:rsidRDefault="00403C5F" w:rsidP="00403C5F">
            <w:pPr>
              <w:rPr>
                <w:rFonts w:cs="Times New Roman"/>
              </w:rPr>
            </w:pPr>
            <w:r w:rsidRPr="00EA2DCE">
              <w:rPr>
                <w:rFonts w:cs="Times New Roman"/>
              </w:rPr>
              <w:t>(Louisville, KY)</w:t>
            </w:r>
          </w:p>
        </w:tc>
        <w:tc>
          <w:tcPr>
            <w:tcW w:w="4410" w:type="dxa"/>
            <w:shd w:val="clear" w:color="auto" w:fill="auto"/>
          </w:tcPr>
          <w:p w:rsidR="00403C5F" w:rsidRPr="00EA2DCE" w:rsidRDefault="00403C5F" w:rsidP="00403C5F">
            <w:pPr>
              <w:pStyle w:val="ListParagraph"/>
              <w:numPr>
                <w:ilvl w:val="0"/>
                <w:numId w:val="1"/>
              </w:numPr>
              <w:rPr>
                <w:rFonts w:cs="Times New Roman"/>
                <w:color w:val="000000"/>
                <w:lang w:val="en"/>
              </w:rPr>
            </w:pPr>
            <w:r w:rsidRPr="00EA2DCE">
              <w:rPr>
                <w:rFonts w:cs="Times New Roman"/>
              </w:rPr>
              <w:t xml:space="preserve">The FDIC considered the matter and determined that the Bank violated section 122(a) of the Truth in Lending Act, 15 U.S.C. § 1632(a), and section I026.5(a)(l) of Regulation Z, 12 C.F.R. § 1026.S(a)(l), by failing to clearly and conspicuously disclose required information related to the Bank's Elastic line of credit product, offered pursuant to a contract with </w:t>
            </w:r>
            <w:proofErr w:type="spellStart"/>
            <w:r w:rsidRPr="00EA2DCE">
              <w:rPr>
                <w:rFonts w:cs="Times New Roman"/>
              </w:rPr>
              <w:t>Elevate@Work</w:t>
            </w:r>
            <w:proofErr w:type="spellEnd"/>
            <w:r w:rsidRPr="00EA2DCE">
              <w:rPr>
                <w:rFonts w:cs="Times New Roman"/>
              </w:rPr>
              <w:t xml:space="preserve">, L.L.C., </w:t>
            </w:r>
          </w:p>
          <w:p w:rsidR="00403C5F" w:rsidRPr="00EA2DCE" w:rsidRDefault="00403C5F" w:rsidP="00403C5F">
            <w:pPr>
              <w:pStyle w:val="ListParagraph"/>
              <w:numPr>
                <w:ilvl w:val="0"/>
                <w:numId w:val="1"/>
              </w:numPr>
              <w:rPr>
                <w:rFonts w:cs="Times New Roman"/>
                <w:color w:val="000000"/>
                <w:lang w:val="en"/>
              </w:rPr>
            </w:pPr>
            <w:r w:rsidRPr="00EA2DCE">
              <w:rPr>
                <w:rFonts w:cs="Times New Roman"/>
              </w:rPr>
              <w:t>Deposit processing violations</w:t>
            </w:r>
          </w:p>
        </w:tc>
        <w:tc>
          <w:tcPr>
            <w:tcW w:w="1350" w:type="dxa"/>
            <w:shd w:val="clear" w:color="auto" w:fill="auto"/>
          </w:tcPr>
          <w:p w:rsidR="00403C5F" w:rsidRPr="00EA2DCE" w:rsidRDefault="00403C5F" w:rsidP="00085D36">
            <w:pPr>
              <w:rPr>
                <w:rFonts w:cs="Times New Roman"/>
              </w:rPr>
            </w:pPr>
            <w:r w:rsidRPr="00EA2DCE">
              <w:rPr>
                <w:rFonts w:cs="Times New Roman"/>
              </w:rPr>
              <w:t>CMP</w:t>
            </w:r>
          </w:p>
        </w:tc>
        <w:tc>
          <w:tcPr>
            <w:tcW w:w="1260" w:type="dxa"/>
            <w:shd w:val="clear" w:color="auto" w:fill="auto"/>
          </w:tcPr>
          <w:p w:rsidR="00403C5F" w:rsidRPr="00EA2DCE" w:rsidRDefault="00403C5F">
            <w:pPr>
              <w:rPr>
                <w:rFonts w:cs="Times New Roman"/>
              </w:rPr>
            </w:pPr>
            <w:r w:rsidRPr="00EA2DCE">
              <w:rPr>
                <w:rFonts w:cs="Times New Roman"/>
              </w:rPr>
              <w:t>FDIC</w:t>
            </w:r>
          </w:p>
        </w:tc>
        <w:tc>
          <w:tcPr>
            <w:tcW w:w="1080" w:type="dxa"/>
            <w:shd w:val="clear" w:color="auto" w:fill="auto"/>
          </w:tcPr>
          <w:p w:rsidR="00403C5F" w:rsidRPr="00EA2DCE" w:rsidRDefault="00403C5F">
            <w:pPr>
              <w:rPr>
                <w:rFonts w:cs="Times New Roman"/>
              </w:rPr>
            </w:pPr>
            <w:r w:rsidRPr="00EA2DCE">
              <w:rPr>
                <w:rFonts w:cs="Times New Roman"/>
              </w:rPr>
              <w:t>10/18/18</w:t>
            </w:r>
          </w:p>
        </w:tc>
        <w:tc>
          <w:tcPr>
            <w:tcW w:w="2880" w:type="dxa"/>
            <w:shd w:val="clear" w:color="auto" w:fill="auto"/>
          </w:tcPr>
          <w:p w:rsidR="00403C5F" w:rsidRPr="00403C5F" w:rsidRDefault="00403C5F" w:rsidP="00403C5F">
            <w:pPr>
              <w:rPr>
                <w:rFonts w:cs="Times New Roman"/>
              </w:rPr>
            </w:pPr>
            <w:r w:rsidRPr="00403C5F">
              <w:rPr>
                <w:rFonts w:cs="Times New Roman"/>
              </w:rPr>
              <w:t>CMP: $300,000</w:t>
            </w:r>
          </w:p>
        </w:tc>
      </w:tr>
      <w:tr w:rsidR="00403C5F" w:rsidRPr="00EA2DCE" w:rsidTr="00403C5F">
        <w:trPr>
          <w:trHeight w:val="1880"/>
        </w:trPr>
        <w:tc>
          <w:tcPr>
            <w:tcW w:w="1620" w:type="dxa"/>
            <w:shd w:val="clear" w:color="auto" w:fill="auto"/>
          </w:tcPr>
          <w:p w:rsidR="00403C5F" w:rsidRPr="00EA2DCE" w:rsidRDefault="00DE7A21">
            <w:pPr>
              <w:rPr>
                <w:rFonts w:cs="Times New Roman"/>
              </w:rPr>
            </w:pPr>
            <w:hyperlink r:id="rId16" w:history="1">
              <w:r w:rsidR="00403C5F" w:rsidRPr="00EA2DCE">
                <w:rPr>
                  <w:rStyle w:val="Hyperlink"/>
                  <w:rFonts w:cs="Times New Roman"/>
                </w:rPr>
                <w:t>UDAAP</w:t>
              </w:r>
            </w:hyperlink>
          </w:p>
        </w:tc>
        <w:tc>
          <w:tcPr>
            <w:tcW w:w="1890" w:type="dxa"/>
            <w:shd w:val="clear" w:color="auto" w:fill="auto"/>
          </w:tcPr>
          <w:p w:rsidR="00403C5F" w:rsidRPr="00EA2DCE" w:rsidRDefault="00403C5F" w:rsidP="00403C5F">
            <w:pPr>
              <w:rPr>
                <w:rFonts w:cs="Times New Roman"/>
              </w:rPr>
            </w:pPr>
            <w:r w:rsidRPr="00EA2DCE">
              <w:rPr>
                <w:rFonts w:cs="Times New Roman"/>
              </w:rPr>
              <w:t>Bluestem Brands, Inc.</w:t>
            </w:r>
          </w:p>
        </w:tc>
        <w:tc>
          <w:tcPr>
            <w:tcW w:w="4410" w:type="dxa"/>
            <w:shd w:val="clear" w:color="auto" w:fill="auto"/>
          </w:tcPr>
          <w:p w:rsidR="00403C5F" w:rsidRPr="00EA2DCE" w:rsidRDefault="00403C5F" w:rsidP="00403C5F">
            <w:pPr>
              <w:pStyle w:val="ListParagraph"/>
              <w:numPr>
                <w:ilvl w:val="0"/>
                <w:numId w:val="1"/>
              </w:numPr>
              <w:rPr>
                <w:rFonts w:cs="Times New Roman"/>
              </w:rPr>
            </w:pPr>
            <w:r w:rsidRPr="00EA2DCE">
              <w:rPr>
                <w:rFonts w:cs="Times New Roman"/>
                <w:color w:val="000000"/>
                <w:lang w:val="en"/>
              </w:rPr>
              <w:t>Consumer debts were sold to debt buyers and Bluestem engaged in unfair acts and practices by substantially delaying forwarding post sale payments made by consumers to Bluestem.</w:t>
            </w:r>
          </w:p>
        </w:tc>
        <w:tc>
          <w:tcPr>
            <w:tcW w:w="1350" w:type="dxa"/>
            <w:shd w:val="clear" w:color="auto" w:fill="auto"/>
          </w:tcPr>
          <w:p w:rsidR="00403C5F" w:rsidRPr="00EA2DCE" w:rsidRDefault="00403C5F" w:rsidP="00085D36">
            <w:pPr>
              <w:rPr>
                <w:rFonts w:cs="Times New Roman"/>
              </w:rPr>
            </w:pPr>
            <w:r w:rsidRPr="00EA2DCE">
              <w:rPr>
                <w:rFonts w:cs="Times New Roman"/>
              </w:rPr>
              <w:t>Consent Order</w:t>
            </w:r>
          </w:p>
        </w:tc>
        <w:tc>
          <w:tcPr>
            <w:tcW w:w="1260" w:type="dxa"/>
            <w:shd w:val="clear" w:color="auto" w:fill="auto"/>
          </w:tcPr>
          <w:p w:rsidR="00403C5F" w:rsidRPr="00EA2DCE" w:rsidRDefault="00403C5F">
            <w:pPr>
              <w:rPr>
                <w:rFonts w:cs="Times New Roman"/>
              </w:rPr>
            </w:pPr>
            <w:r w:rsidRPr="00EA2DCE">
              <w:rPr>
                <w:rFonts w:cs="Times New Roman"/>
              </w:rPr>
              <w:t>CFPB</w:t>
            </w:r>
          </w:p>
        </w:tc>
        <w:tc>
          <w:tcPr>
            <w:tcW w:w="1080" w:type="dxa"/>
            <w:shd w:val="clear" w:color="auto" w:fill="auto"/>
          </w:tcPr>
          <w:p w:rsidR="00403C5F" w:rsidRPr="00EA2DCE" w:rsidRDefault="00403C5F">
            <w:pPr>
              <w:rPr>
                <w:rFonts w:cs="Times New Roman"/>
              </w:rPr>
            </w:pPr>
            <w:r w:rsidRPr="00EA2DCE">
              <w:rPr>
                <w:rFonts w:cs="Times New Roman"/>
              </w:rPr>
              <w:t>10/4/18</w:t>
            </w:r>
          </w:p>
        </w:tc>
        <w:tc>
          <w:tcPr>
            <w:tcW w:w="2880" w:type="dxa"/>
            <w:shd w:val="clear" w:color="auto" w:fill="auto"/>
          </w:tcPr>
          <w:p w:rsidR="00403C5F" w:rsidRPr="00EA2DCE" w:rsidRDefault="00403C5F" w:rsidP="00403C5F">
            <w:pPr>
              <w:rPr>
                <w:rFonts w:cs="Times New Roman"/>
              </w:rPr>
            </w:pPr>
            <w:r w:rsidRPr="00EA2DCE">
              <w:rPr>
                <w:rFonts w:cs="Times New Roman"/>
              </w:rPr>
              <w:t>Update processes, systems, and controls to ensure  timely ID and forwards Direct Pays to the appropriate debt</w:t>
            </w:r>
          </w:p>
          <w:p w:rsidR="00403C5F" w:rsidRPr="00EA2DCE" w:rsidRDefault="00403C5F" w:rsidP="00403C5F">
            <w:pPr>
              <w:rPr>
                <w:rFonts w:cs="Times New Roman"/>
              </w:rPr>
            </w:pPr>
            <w:r w:rsidRPr="00EA2DCE">
              <w:rPr>
                <w:rFonts w:cs="Times New Roman"/>
              </w:rPr>
              <w:t>Buyers, compliance plan.</w:t>
            </w:r>
          </w:p>
          <w:p w:rsidR="00403C5F" w:rsidRPr="00EA2DCE" w:rsidRDefault="00403C5F" w:rsidP="00403C5F">
            <w:pPr>
              <w:rPr>
                <w:rFonts w:cs="Times New Roman"/>
              </w:rPr>
            </w:pPr>
          </w:p>
          <w:p w:rsidR="00403C5F" w:rsidRPr="00403C5F" w:rsidRDefault="00403C5F" w:rsidP="00403C5F">
            <w:pPr>
              <w:rPr>
                <w:rFonts w:cs="Times New Roman"/>
              </w:rPr>
            </w:pPr>
            <w:r w:rsidRPr="00EA2DCE">
              <w:rPr>
                <w:rFonts w:cs="Times New Roman"/>
              </w:rPr>
              <w:t>CMP: $200,000</w:t>
            </w:r>
          </w:p>
        </w:tc>
      </w:tr>
      <w:tr w:rsidR="00403C5F" w:rsidRPr="00EA2DCE" w:rsidTr="00403C5F">
        <w:trPr>
          <w:trHeight w:val="1880"/>
        </w:trPr>
        <w:tc>
          <w:tcPr>
            <w:tcW w:w="1620" w:type="dxa"/>
            <w:shd w:val="clear" w:color="auto" w:fill="auto"/>
          </w:tcPr>
          <w:p w:rsidR="00403C5F" w:rsidRPr="00EA2DCE" w:rsidRDefault="00DE7A21">
            <w:hyperlink r:id="rId17" w:history="1">
              <w:r w:rsidR="00403C5F" w:rsidRPr="00EA2DCE">
                <w:rPr>
                  <w:rStyle w:val="Hyperlink"/>
                  <w:rFonts w:cs="Times New Roman"/>
                </w:rPr>
                <w:t>Flood</w:t>
              </w:r>
            </w:hyperlink>
          </w:p>
        </w:tc>
        <w:tc>
          <w:tcPr>
            <w:tcW w:w="1890" w:type="dxa"/>
            <w:shd w:val="clear" w:color="auto" w:fill="auto"/>
          </w:tcPr>
          <w:p w:rsidR="00403C5F" w:rsidRPr="00EA2DCE" w:rsidRDefault="00403C5F" w:rsidP="00403C5F">
            <w:pPr>
              <w:rPr>
                <w:rFonts w:cs="Times New Roman"/>
              </w:rPr>
            </w:pPr>
            <w:proofErr w:type="spellStart"/>
            <w:r w:rsidRPr="00EA2DCE">
              <w:rPr>
                <w:rFonts w:cs="Times New Roman"/>
              </w:rPr>
              <w:t>Gibsland</w:t>
            </w:r>
            <w:proofErr w:type="spellEnd"/>
            <w:r w:rsidRPr="00EA2DCE">
              <w:rPr>
                <w:rFonts w:cs="Times New Roman"/>
              </w:rPr>
              <w:t xml:space="preserve"> Bank and Trust Company</w:t>
            </w:r>
          </w:p>
          <w:p w:rsidR="00403C5F" w:rsidRPr="00EA2DCE" w:rsidRDefault="00403C5F" w:rsidP="00403C5F">
            <w:pPr>
              <w:rPr>
                <w:rFonts w:cs="Times New Roman"/>
              </w:rPr>
            </w:pPr>
            <w:r w:rsidRPr="00EA2DCE">
              <w:rPr>
                <w:rFonts w:cs="Times New Roman"/>
              </w:rPr>
              <w:t>(</w:t>
            </w:r>
            <w:proofErr w:type="spellStart"/>
            <w:r w:rsidRPr="00EA2DCE">
              <w:rPr>
                <w:rFonts w:cs="Times New Roman"/>
              </w:rPr>
              <w:t>Gibsland</w:t>
            </w:r>
            <w:proofErr w:type="spellEnd"/>
            <w:r w:rsidRPr="00EA2DCE">
              <w:rPr>
                <w:rFonts w:cs="Times New Roman"/>
              </w:rPr>
              <w:t>, LA)</w:t>
            </w:r>
          </w:p>
        </w:tc>
        <w:tc>
          <w:tcPr>
            <w:tcW w:w="4410" w:type="dxa"/>
            <w:shd w:val="clear" w:color="auto" w:fill="auto"/>
          </w:tcPr>
          <w:p w:rsidR="00403C5F" w:rsidRPr="00EA2DCE" w:rsidRDefault="00403C5F" w:rsidP="00403C5F">
            <w:pPr>
              <w:pStyle w:val="ListParagraph"/>
              <w:numPr>
                <w:ilvl w:val="0"/>
                <w:numId w:val="1"/>
              </w:numPr>
              <w:rPr>
                <w:rFonts w:cs="Times New Roman"/>
                <w:color w:val="000000"/>
                <w:lang w:val="en"/>
              </w:rPr>
            </w:pPr>
            <w:r w:rsidRPr="00EA2DCE">
              <w:rPr>
                <w:rFonts w:cs="Times New Roman"/>
                <w:color w:val="000000"/>
                <w:lang w:val="en"/>
              </w:rPr>
              <w:t>The Bank engaged in a pattern or practice of committing 24 violations of section 102(b</w:t>
            </w:r>
            <w:proofErr w:type="gramStart"/>
            <w:r w:rsidRPr="00EA2DCE">
              <w:rPr>
                <w:rFonts w:cs="Times New Roman"/>
                <w:color w:val="000000"/>
                <w:lang w:val="en"/>
              </w:rPr>
              <w:t>)(</w:t>
            </w:r>
            <w:proofErr w:type="gramEnd"/>
            <w:r w:rsidRPr="00EA2DCE">
              <w:rPr>
                <w:rFonts w:cs="Times New Roman"/>
                <w:color w:val="000000"/>
                <w:lang w:val="en"/>
              </w:rPr>
              <w:t>l) of the FDPA, 42 U.S.C. § 4012a(b)(l), and section 339.3(a) of the FDIC Rules and Regulations, 12 C.F.R. § 339.3(a), for failure to obtain flood insurance at or before loan origination or renewal.</w:t>
            </w:r>
          </w:p>
        </w:tc>
        <w:tc>
          <w:tcPr>
            <w:tcW w:w="1350" w:type="dxa"/>
            <w:shd w:val="clear" w:color="auto" w:fill="auto"/>
          </w:tcPr>
          <w:p w:rsidR="00403C5F" w:rsidRPr="00EA2DCE" w:rsidRDefault="00403C5F" w:rsidP="00085D36">
            <w:pPr>
              <w:rPr>
                <w:rFonts w:cs="Times New Roman"/>
              </w:rPr>
            </w:pPr>
            <w:r w:rsidRPr="00EA2DCE">
              <w:rPr>
                <w:rFonts w:cs="Times New Roman"/>
              </w:rPr>
              <w:t>CMP</w:t>
            </w:r>
          </w:p>
        </w:tc>
        <w:tc>
          <w:tcPr>
            <w:tcW w:w="1260" w:type="dxa"/>
            <w:shd w:val="clear" w:color="auto" w:fill="auto"/>
          </w:tcPr>
          <w:p w:rsidR="00403C5F" w:rsidRPr="00EA2DCE" w:rsidRDefault="001245E1">
            <w:pPr>
              <w:rPr>
                <w:rFonts w:cs="Times New Roman"/>
              </w:rPr>
            </w:pPr>
            <w:r w:rsidRPr="00EA2DCE">
              <w:rPr>
                <w:rFonts w:cs="Times New Roman"/>
              </w:rPr>
              <w:t>FDIC</w:t>
            </w:r>
          </w:p>
        </w:tc>
        <w:tc>
          <w:tcPr>
            <w:tcW w:w="1080" w:type="dxa"/>
            <w:shd w:val="clear" w:color="auto" w:fill="auto"/>
          </w:tcPr>
          <w:p w:rsidR="00403C5F" w:rsidRPr="00EA2DCE" w:rsidRDefault="001245E1">
            <w:pPr>
              <w:rPr>
                <w:rFonts w:cs="Times New Roman"/>
              </w:rPr>
            </w:pPr>
            <w:r w:rsidRPr="00EA2DCE">
              <w:rPr>
                <w:rFonts w:cs="Times New Roman"/>
              </w:rPr>
              <w:t>10/1/18</w:t>
            </w:r>
          </w:p>
        </w:tc>
        <w:tc>
          <w:tcPr>
            <w:tcW w:w="2880" w:type="dxa"/>
            <w:shd w:val="clear" w:color="auto" w:fill="auto"/>
          </w:tcPr>
          <w:p w:rsidR="00403C5F" w:rsidRPr="00EA2DCE" w:rsidRDefault="001245E1" w:rsidP="00403C5F">
            <w:pPr>
              <w:rPr>
                <w:rFonts w:cs="Times New Roman"/>
              </w:rPr>
            </w:pPr>
            <w:r w:rsidRPr="00EA2DCE">
              <w:rPr>
                <w:rFonts w:cs="Times New Roman"/>
              </w:rPr>
              <w:t>CMP: $9,600</w:t>
            </w:r>
          </w:p>
        </w:tc>
      </w:tr>
      <w:tr w:rsidR="001245E1" w:rsidRPr="00EA2DCE" w:rsidTr="00403C5F">
        <w:trPr>
          <w:trHeight w:val="1880"/>
        </w:trPr>
        <w:tc>
          <w:tcPr>
            <w:tcW w:w="1620" w:type="dxa"/>
            <w:shd w:val="clear" w:color="auto" w:fill="auto"/>
          </w:tcPr>
          <w:p w:rsidR="001245E1" w:rsidRPr="00EA2DCE" w:rsidRDefault="00DE7A21" w:rsidP="001245E1">
            <w:pPr>
              <w:rPr>
                <w:rStyle w:val="Hyperlink"/>
                <w:rFonts w:cs="Times New Roman"/>
              </w:rPr>
            </w:pPr>
            <w:hyperlink r:id="rId18" w:history="1">
              <w:r w:rsidR="001245E1" w:rsidRPr="00EA2DCE">
                <w:rPr>
                  <w:rStyle w:val="Hyperlink"/>
                  <w:rFonts w:cs="Times New Roman"/>
                </w:rPr>
                <w:t>FHA/Fair Lending</w:t>
              </w:r>
            </w:hyperlink>
          </w:p>
          <w:p w:rsidR="001245E1" w:rsidRPr="00EA2DCE" w:rsidRDefault="001245E1">
            <w:pPr>
              <w:rPr>
                <w:rFonts w:cs="Times New Roman"/>
              </w:rPr>
            </w:pPr>
          </w:p>
        </w:tc>
        <w:tc>
          <w:tcPr>
            <w:tcW w:w="1890" w:type="dxa"/>
            <w:shd w:val="clear" w:color="auto" w:fill="auto"/>
          </w:tcPr>
          <w:p w:rsidR="001245E1" w:rsidRPr="00EA2DCE" w:rsidRDefault="001245E1" w:rsidP="001245E1">
            <w:pPr>
              <w:rPr>
                <w:rFonts w:cs="Times New Roman"/>
              </w:rPr>
            </w:pPr>
            <w:r w:rsidRPr="00EA2DCE">
              <w:rPr>
                <w:rFonts w:cs="Times New Roman"/>
              </w:rPr>
              <w:t>Loan Depot.com, LLC</w:t>
            </w:r>
          </w:p>
          <w:p w:rsidR="001245E1" w:rsidRPr="00EA2DCE" w:rsidRDefault="001245E1" w:rsidP="001245E1">
            <w:pPr>
              <w:rPr>
                <w:rFonts w:cs="Times New Roman"/>
              </w:rPr>
            </w:pPr>
            <w:r w:rsidRPr="00EA2DCE">
              <w:rPr>
                <w:rFonts w:cs="Times New Roman"/>
              </w:rPr>
              <w:t>(Foothill Ranch, CA)</w:t>
            </w:r>
          </w:p>
          <w:p w:rsidR="001245E1" w:rsidRPr="00EA2DCE" w:rsidRDefault="001245E1" w:rsidP="001245E1">
            <w:pPr>
              <w:rPr>
                <w:rFonts w:cs="Times New Roman"/>
              </w:rPr>
            </w:pPr>
          </w:p>
          <w:p w:rsidR="001245E1" w:rsidRPr="00EA2DCE" w:rsidRDefault="001245E1" w:rsidP="001245E1">
            <w:pPr>
              <w:rPr>
                <w:rFonts w:cs="Times New Roman"/>
              </w:rPr>
            </w:pPr>
            <w:r w:rsidRPr="00EA2DCE">
              <w:rPr>
                <w:rFonts w:cs="Times New Roman"/>
              </w:rPr>
              <w:t xml:space="preserve">and </w:t>
            </w:r>
          </w:p>
          <w:p w:rsidR="001245E1" w:rsidRPr="00EA2DCE" w:rsidRDefault="001245E1" w:rsidP="001245E1">
            <w:pPr>
              <w:rPr>
                <w:rFonts w:cs="Times New Roman"/>
              </w:rPr>
            </w:pPr>
          </w:p>
          <w:p w:rsidR="001245E1" w:rsidRPr="00EA2DCE" w:rsidRDefault="001245E1" w:rsidP="001245E1">
            <w:pPr>
              <w:rPr>
                <w:rFonts w:cs="Times New Roman"/>
              </w:rPr>
            </w:pPr>
            <w:r w:rsidRPr="00EA2DCE">
              <w:rPr>
                <w:rFonts w:cs="Times New Roman"/>
              </w:rPr>
              <w:t>Appraisal Management Services of America, Inc.</w:t>
            </w:r>
          </w:p>
          <w:p w:rsidR="001245E1" w:rsidRPr="00EA2DCE" w:rsidRDefault="001245E1" w:rsidP="001245E1">
            <w:pPr>
              <w:rPr>
                <w:rFonts w:cs="Times New Roman"/>
              </w:rPr>
            </w:pPr>
            <w:r w:rsidRPr="00EA2DCE">
              <w:rPr>
                <w:rFonts w:cs="Times New Roman"/>
              </w:rPr>
              <w:t>(Fountain Valley, CA)</w:t>
            </w:r>
          </w:p>
        </w:tc>
        <w:tc>
          <w:tcPr>
            <w:tcW w:w="4410" w:type="dxa"/>
            <w:shd w:val="clear" w:color="auto" w:fill="auto"/>
          </w:tcPr>
          <w:p w:rsidR="001245E1" w:rsidRPr="00EA2DCE" w:rsidRDefault="001245E1" w:rsidP="001245E1">
            <w:pPr>
              <w:pStyle w:val="ListParagraph"/>
              <w:numPr>
                <w:ilvl w:val="0"/>
                <w:numId w:val="1"/>
              </w:numPr>
              <w:rPr>
                <w:rFonts w:cs="Times New Roman"/>
              </w:rPr>
            </w:pPr>
            <w:r w:rsidRPr="00EA2DCE">
              <w:rPr>
                <w:rFonts w:cs="Times New Roman"/>
                <w:color w:val="000000"/>
                <w:lang w:val="en"/>
              </w:rPr>
              <w:t xml:space="preserve">Alleged the lender refused to refinance homes because they were Native American and home was on Native American Land. </w:t>
            </w:r>
          </w:p>
          <w:p w:rsidR="001245E1" w:rsidRPr="00EA2DCE" w:rsidRDefault="001245E1" w:rsidP="001245E1">
            <w:pPr>
              <w:pStyle w:val="ListParagraph"/>
              <w:numPr>
                <w:ilvl w:val="0"/>
                <w:numId w:val="1"/>
              </w:numPr>
              <w:rPr>
                <w:rFonts w:cs="Times New Roman"/>
                <w:color w:val="000000"/>
                <w:lang w:val="en"/>
              </w:rPr>
            </w:pPr>
            <w:r w:rsidRPr="00EA2DCE">
              <w:rPr>
                <w:rFonts w:cs="Times New Roman"/>
                <w:color w:val="000000"/>
                <w:lang w:val="en"/>
              </w:rPr>
              <w:t>Appraisal Management Services of America informed loanDepot.com it could not provide an appraisal on the home because it was on “Indian land.”</w:t>
            </w:r>
          </w:p>
        </w:tc>
        <w:tc>
          <w:tcPr>
            <w:tcW w:w="1350" w:type="dxa"/>
            <w:shd w:val="clear" w:color="auto" w:fill="auto"/>
          </w:tcPr>
          <w:p w:rsidR="001245E1" w:rsidRPr="00EA2DCE" w:rsidRDefault="001245E1" w:rsidP="00085D36">
            <w:pPr>
              <w:rPr>
                <w:rFonts w:cs="Times New Roman"/>
              </w:rPr>
            </w:pPr>
            <w:r w:rsidRPr="00EA2DCE">
              <w:rPr>
                <w:rFonts w:cs="Times New Roman"/>
              </w:rPr>
              <w:t>Conciliation Agreement</w:t>
            </w:r>
          </w:p>
        </w:tc>
        <w:tc>
          <w:tcPr>
            <w:tcW w:w="1260" w:type="dxa"/>
            <w:shd w:val="clear" w:color="auto" w:fill="auto"/>
          </w:tcPr>
          <w:p w:rsidR="001245E1" w:rsidRPr="00EA2DCE" w:rsidRDefault="001245E1">
            <w:pPr>
              <w:rPr>
                <w:rFonts w:cs="Times New Roman"/>
              </w:rPr>
            </w:pPr>
            <w:r w:rsidRPr="00EA2DCE">
              <w:rPr>
                <w:rFonts w:cs="Times New Roman"/>
              </w:rPr>
              <w:t>HUD</w:t>
            </w:r>
          </w:p>
        </w:tc>
        <w:tc>
          <w:tcPr>
            <w:tcW w:w="1080" w:type="dxa"/>
            <w:shd w:val="clear" w:color="auto" w:fill="auto"/>
          </w:tcPr>
          <w:p w:rsidR="001245E1" w:rsidRPr="00EA2DCE" w:rsidRDefault="001245E1">
            <w:pPr>
              <w:rPr>
                <w:rFonts w:cs="Times New Roman"/>
              </w:rPr>
            </w:pPr>
            <w:r w:rsidRPr="00EA2DCE">
              <w:rPr>
                <w:rFonts w:cs="Times New Roman"/>
              </w:rPr>
              <w:t>9/21/18</w:t>
            </w:r>
          </w:p>
        </w:tc>
        <w:tc>
          <w:tcPr>
            <w:tcW w:w="2880" w:type="dxa"/>
            <w:shd w:val="clear" w:color="auto" w:fill="auto"/>
          </w:tcPr>
          <w:p w:rsidR="001245E1" w:rsidRPr="00EA2DCE" w:rsidRDefault="001245E1" w:rsidP="001245E1">
            <w:pPr>
              <w:rPr>
                <w:rFonts w:cs="Times New Roman"/>
              </w:rPr>
            </w:pPr>
            <w:r w:rsidRPr="00EA2DCE">
              <w:rPr>
                <w:rFonts w:cs="Times New Roman"/>
              </w:rPr>
              <w:t>Loan Depot.com:</w:t>
            </w:r>
          </w:p>
          <w:p w:rsidR="001245E1" w:rsidRPr="00EA2DCE" w:rsidRDefault="001245E1" w:rsidP="001245E1">
            <w:pPr>
              <w:pStyle w:val="ListParagraph"/>
              <w:numPr>
                <w:ilvl w:val="0"/>
                <w:numId w:val="2"/>
              </w:numPr>
              <w:rPr>
                <w:rFonts w:cs="Times New Roman"/>
              </w:rPr>
            </w:pPr>
            <w:r w:rsidRPr="00EA2DCE">
              <w:rPr>
                <w:rFonts w:cs="Times New Roman"/>
              </w:rPr>
              <w:t>$30,000 to each homeowner (2);</w:t>
            </w:r>
          </w:p>
          <w:p w:rsidR="001245E1" w:rsidRPr="00EA2DCE" w:rsidRDefault="001245E1" w:rsidP="001245E1">
            <w:pPr>
              <w:pStyle w:val="ListParagraph"/>
              <w:numPr>
                <w:ilvl w:val="0"/>
                <w:numId w:val="2"/>
              </w:numPr>
              <w:rPr>
                <w:rFonts w:cs="Times New Roman"/>
              </w:rPr>
            </w:pPr>
            <w:r w:rsidRPr="00EA2DCE">
              <w:rPr>
                <w:rFonts w:cs="Times New Roman"/>
              </w:rPr>
              <w:t>$40,000 loan subsidy program;</w:t>
            </w:r>
          </w:p>
          <w:p w:rsidR="001245E1" w:rsidRPr="00EA2DCE" w:rsidRDefault="001245E1" w:rsidP="001245E1">
            <w:pPr>
              <w:pStyle w:val="ListParagraph"/>
              <w:numPr>
                <w:ilvl w:val="0"/>
                <w:numId w:val="2"/>
              </w:numPr>
              <w:rPr>
                <w:rFonts w:cs="Times New Roman"/>
              </w:rPr>
            </w:pPr>
            <w:r w:rsidRPr="00EA2DCE">
              <w:rPr>
                <w:rFonts w:cs="Times New Roman"/>
              </w:rPr>
              <w:t xml:space="preserve">$240,000 for outreach programs for Native Americans on or around reservations. </w:t>
            </w:r>
          </w:p>
          <w:p w:rsidR="001245E1" w:rsidRPr="00EA2DCE" w:rsidRDefault="001245E1" w:rsidP="001245E1">
            <w:pPr>
              <w:rPr>
                <w:rFonts w:cs="Times New Roman"/>
              </w:rPr>
            </w:pPr>
            <w:r w:rsidRPr="00EA2DCE">
              <w:rPr>
                <w:rFonts w:cs="Times New Roman"/>
                <w:color w:val="000000"/>
                <w:lang w:val="en"/>
              </w:rPr>
              <w:t>Loan Depot.com:</w:t>
            </w:r>
          </w:p>
          <w:p w:rsidR="001245E1" w:rsidRPr="00EA2DCE" w:rsidRDefault="001245E1" w:rsidP="001245E1">
            <w:pPr>
              <w:pStyle w:val="ListParagraph"/>
              <w:numPr>
                <w:ilvl w:val="0"/>
                <w:numId w:val="2"/>
              </w:numPr>
              <w:rPr>
                <w:rFonts w:cs="Times New Roman"/>
              </w:rPr>
            </w:pPr>
            <w:r w:rsidRPr="00EA2DCE">
              <w:rPr>
                <w:rFonts w:cs="Times New Roman"/>
                <w:color w:val="000000"/>
                <w:lang w:val="en"/>
              </w:rPr>
              <w:t>Revise policies regarding underwriting of home mortgage loans on land located within the boundaries of American Indian reservations to ensure consistency with the Fair Housing Act.</w:t>
            </w:r>
          </w:p>
          <w:p w:rsidR="001245E1" w:rsidRPr="00EA2DCE" w:rsidRDefault="001245E1" w:rsidP="001245E1">
            <w:pPr>
              <w:rPr>
                <w:rFonts w:cs="Times New Roman"/>
              </w:rPr>
            </w:pPr>
            <w:r w:rsidRPr="00EA2DCE">
              <w:rPr>
                <w:rFonts w:cs="Times New Roman"/>
              </w:rPr>
              <w:t>Appraisal Management Services:</w:t>
            </w:r>
          </w:p>
          <w:p w:rsidR="001245E1" w:rsidRPr="00EA2DCE" w:rsidRDefault="001245E1" w:rsidP="001245E1">
            <w:pPr>
              <w:pStyle w:val="ListParagraph"/>
              <w:numPr>
                <w:ilvl w:val="0"/>
                <w:numId w:val="2"/>
              </w:numPr>
              <w:rPr>
                <w:rFonts w:cs="Times New Roman"/>
              </w:rPr>
            </w:pPr>
            <w:r w:rsidRPr="00EA2DCE">
              <w:rPr>
                <w:rFonts w:cs="Times New Roman"/>
                <w:color w:val="000000"/>
                <w:lang w:val="en"/>
              </w:rPr>
              <w:t xml:space="preserve">Revise policies regarding appraisals for mortgages on homes located on American Indian reservations. </w:t>
            </w:r>
          </w:p>
          <w:p w:rsidR="001245E1" w:rsidRPr="00EA2DCE" w:rsidRDefault="001245E1" w:rsidP="001245E1">
            <w:pPr>
              <w:rPr>
                <w:rFonts w:cs="Times New Roman"/>
              </w:rPr>
            </w:pPr>
            <w:r w:rsidRPr="00EA2DCE">
              <w:rPr>
                <w:rFonts w:cs="Times New Roman"/>
                <w:color w:val="000000"/>
                <w:lang w:val="en"/>
              </w:rPr>
              <w:t>No longer contract with appraisers who refuse to conduct appraisals on reservations.</w:t>
            </w:r>
          </w:p>
        </w:tc>
      </w:tr>
      <w:tr w:rsidR="001245E1" w:rsidRPr="00EA2DCE" w:rsidTr="00403C5F">
        <w:trPr>
          <w:trHeight w:val="1880"/>
        </w:trPr>
        <w:tc>
          <w:tcPr>
            <w:tcW w:w="1620" w:type="dxa"/>
            <w:shd w:val="clear" w:color="auto" w:fill="auto"/>
          </w:tcPr>
          <w:p w:rsidR="001245E1" w:rsidRPr="00EA2DCE" w:rsidRDefault="00DE7A21" w:rsidP="001245E1">
            <w:hyperlink r:id="rId19" w:history="1">
              <w:r w:rsidR="001245E1" w:rsidRPr="00EA2DCE">
                <w:rPr>
                  <w:rStyle w:val="Hyperlink"/>
                  <w:rFonts w:cs="Times New Roman"/>
                </w:rPr>
                <w:t>CMS</w:t>
              </w:r>
            </w:hyperlink>
          </w:p>
        </w:tc>
        <w:tc>
          <w:tcPr>
            <w:tcW w:w="1890" w:type="dxa"/>
            <w:shd w:val="clear" w:color="auto" w:fill="auto"/>
          </w:tcPr>
          <w:p w:rsidR="001245E1" w:rsidRPr="00EA2DCE" w:rsidRDefault="001245E1" w:rsidP="001245E1">
            <w:pPr>
              <w:rPr>
                <w:rFonts w:cs="Times New Roman"/>
              </w:rPr>
            </w:pPr>
            <w:r w:rsidRPr="00EA2DCE">
              <w:rPr>
                <w:rFonts w:cs="Times New Roman"/>
              </w:rPr>
              <w:t>Peoples Bank and Trust Company (Ryan, OK)</w:t>
            </w:r>
          </w:p>
        </w:tc>
        <w:tc>
          <w:tcPr>
            <w:tcW w:w="4410" w:type="dxa"/>
            <w:shd w:val="clear" w:color="auto" w:fill="auto"/>
          </w:tcPr>
          <w:p w:rsidR="001245E1" w:rsidRPr="00EA2DCE" w:rsidRDefault="001245E1" w:rsidP="001245E1">
            <w:pPr>
              <w:pStyle w:val="ListParagraph"/>
              <w:numPr>
                <w:ilvl w:val="0"/>
                <w:numId w:val="1"/>
              </w:numPr>
              <w:rPr>
                <w:rFonts w:cs="Times New Roman"/>
                <w:color w:val="000000"/>
                <w:lang w:val="en"/>
              </w:rPr>
            </w:pPr>
            <w:r w:rsidRPr="00EA2DCE">
              <w:rPr>
                <w:rFonts w:cs="Times New Roman"/>
                <w:color w:val="000000"/>
                <w:lang w:val="en"/>
              </w:rPr>
              <w:t>Weaknesses in the Bank's Compliance Management System</w:t>
            </w:r>
          </w:p>
        </w:tc>
        <w:tc>
          <w:tcPr>
            <w:tcW w:w="1350" w:type="dxa"/>
            <w:shd w:val="clear" w:color="auto" w:fill="auto"/>
          </w:tcPr>
          <w:p w:rsidR="001245E1" w:rsidRPr="00EA2DCE" w:rsidRDefault="001245E1" w:rsidP="00085D36">
            <w:pPr>
              <w:rPr>
                <w:rFonts w:cs="Times New Roman"/>
              </w:rPr>
            </w:pPr>
            <w:r w:rsidRPr="00EA2DCE">
              <w:rPr>
                <w:rFonts w:cs="Times New Roman"/>
              </w:rPr>
              <w:t>Consent Order</w:t>
            </w:r>
          </w:p>
        </w:tc>
        <w:tc>
          <w:tcPr>
            <w:tcW w:w="1260" w:type="dxa"/>
            <w:shd w:val="clear" w:color="auto" w:fill="auto"/>
          </w:tcPr>
          <w:p w:rsidR="001245E1" w:rsidRPr="00EA2DCE" w:rsidRDefault="001245E1">
            <w:pPr>
              <w:rPr>
                <w:rFonts w:cs="Times New Roman"/>
              </w:rPr>
            </w:pPr>
            <w:r w:rsidRPr="00EA2DCE">
              <w:rPr>
                <w:rFonts w:cs="Times New Roman"/>
              </w:rPr>
              <w:t>FDIC</w:t>
            </w:r>
          </w:p>
        </w:tc>
        <w:tc>
          <w:tcPr>
            <w:tcW w:w="1080" w:type="dxa"/>
            <w:shd w:val="clear" w:color="auto" w:fill="auto"/>
          </w:tcPr>
          <w:p w:rsidR="001245E1" w:rsidRPr="00EA2DCE" w:rsidRDefault="001245E1">
            <w:pPr>
              <w:rPr>
                <w:rFonts w:cs="Times New Roman"/>
              </w:rPr>
            </w:pPr>
            <w:r w:rsidRPr="00EA2DCE">
              <w:rPr>
                <w:rFonts w:cs="Times New Roman"/>
              </w:rPr>
              <w:t>9/17/18</w:t>
            </w:r>
          </w:p>
        </w:tc>
        <w:tc>
          <w:tcPr>
            <w:tcW w:w="2880" w:type="dxa"/>
            <w:shd w:val="clear" w:color="auto" w:fill="auto"/>
          </w:tcPr>
          <w:p w:rsidR="001245E1" w:rsidRPr="00EA2DCE" w:rsidRDefault="001245E1" w:rsidP="001245E1">
            <w:pPr>
              <w:rPr>
                <w:rFonts w:cs="Times New Roman"/>
              </w:rPr>
            </w:pPr>
            <w:r w:rsidRPr="00EA2DCE">
              <w:rPr>
                <w:rFonts w:cs="Times New Roman"/>
              </w:rPr>
              <w:t xml:space="preserve">Develop CMS commensurate with level of risk. </w:t>
            </w:r>
            <w:proofErr w:type="spellStart"/>
            <w:r w:rsidRPr="00EA2DCE">
              <w:rPr>
                <w:rFonts w:cs="Times New Roman"/>
              </w:rPr>
              <w:t>BofD</w:t>
            </w:r>
            <w:proofErr w:type="spellEnd"/>
            <w:r w:rsidRPr="00EA2DCE">
              <w:rPr>
                <w:rFonts w:cs="Times New Roman"/>
              </w:rPr>
              <w:t>/</w:t>
            </w:r>
          </w:p>
          <w:p w:rsidR="001245E1" w:rsidRPr="00EA2DCE" w:rsidRDefault="001245E1" w:rsidP="001245E1">
            <w:pPr>
              <w:rPr>
                <w:rFonts w:cs="Times New Roman"/>
              </w:rPr>
            </w:pPr>
            <w:proofErr w:type="spellStart"/>
            <w:r w:rsidRPr="00EA2DCE">
              <w:rPr>
                <w:rFonts w:cs="Times New Roman"/>
              </w:rPr>
              <w:t>Sr.Mgmt</w:t>
            </w:r>
            <w:proofErr w:type="spellEnd"/>
            <w:r w:rsidRPr="00EA2DCE">
              <w:rPr>
                <w:rFonts w:cs="Times New Roman"/>
              </w:rPr>
              <w:t xml:space="preserve"> must ensure Bank:</w:t>
            </w:r>
          </w:p>
          <w:p w:rsidR="001245E1" w:rsidRPr="00EA2DCE" w:rsidRDefault="001245E1" w:rsidP="001245E1">
            <w:pPr>
              <w:pStyle w:val="ListParagraph"/>
              <w:numPr>
                <w:ilvl w:val="0"/>
                <w:numId w:val="1"/>
              </w:numPr>
              <w:rPr>
                <w:rFonts w:cs="Times New Roman"/>
              </w:rPr>
            </w:pPr>
            <w:r w:rsidRPr="00EA2DCE">
              <w:rPr>
                <w:rFonts w:cs="Times New Roman"/>
              </w:rPr>
              <w:t>Demonstrates clear expectations about compliance, within the Bank and to third-party providers;</w:t>
            </w:r>
          </w:p>
          <w:p w:rsidR="001245E1" w:rsidRPr="00EA2DCE" w:rsidRDefault="001245E1" w:rsidP="001245E1">
            <w:pPr>
              <w:pStyle w:val="ListParagraph"/>
              <w:numPr>
                <w:ilvl w:val="0"/>
                <w:numId w:val="1"/>
              </w:numPr>
              <w:rPr>
                <w:rFonts w:cs="Times New Roman"/>
              </w:rPr>
            </w:pPr>
            <w:r w:rsidRPr="00EA2DCE">
              <w:rPr>
                <w:rFonts w:cs="Times New Roman"/>
              </w:rPr>
              <w:t xml:space="preserve">Adopts clear policies; </w:t>
            </w:r>
          </w:p>
          <w:p w:rsidR="001245E1" w:rsidRPr="00EA2DCE" w:rsidRDefault="001245E1" w:rsidP="001245E1">
            <w:pPr>
              <w:pStyle w:val="ListParagraph"/>
              <w:numPr>
                <w:ilvl w:val="0"/>
                <w:numId w:val="1"/>
              </w:numPr>
              <w:rPr>
                <w:rFonts w:cs="Times New Roman"/>
              </w:rPr>
            </w:pPr>
            <w:r w:rsidRPr="00EA2DCE">
              <w:rPr>
                <w:rFonts w:cs="Times New Roman"/>
              </w:rPr>
              <w:t xml:space="preserve">Has Compliance Off. with authority; </w:t>
            </w:r>
          </w:p>
          <w:p w:rsidR="001245E1" w:rsidRPr="00EA2DCE" w:rsidRDefault="001245E1" w:rsidP="001245E1">
            <w:pPr>
              <w:pStyle w:val="ListParagraph"/>
              <w:numPr>
                <w:ilvl w:val="0"/>
                <w:numId w:val="1"/>
              </w:numPr>
              <w:rPr>
                <w:rFonts w:cs="Times New Roman"/>
              </w:rPr>
            </w:pPr>
            <w:r w:rsidRPr="00EA2DCE">
              <w:rPr>
                <w:rFonts w:cs="Times New Roman"/>
              </w:rPr>
              <w:t>Has adequate resources;</w:t>
            </w:r>
          </w:p>
          <w:p w:rsidR="001245E1" w:rsidRPr="00EA2DCE" w:rsidRDefault="001245E1" w:rsidP="001245E1">
            <w:pPr>
              <w:pStyle w:val="ListParagraph"/>
              <w:numPr>
                <w:ilvl w:val="0"/>
                <w:numId w:val="1"/>
              </w:numPr>
              <w:rPr>
                <w:rFonts w:cs="Times New Roman"/>
              </w:rPr>
            </w:pPr>
            <w:r w:rsidRPr="00EA2DCE">
              <w:rPr>
                <w:rFonts w:cs="Times New Roman"/>
              </w:rPr>
              <w:t xml:space="preserve">Identifies risks across products, services, activities; </w:t>
            </w:r>
          </w:p>
          <w:p w:rsidR="001245E1" w:rsidRPr="00EA2DCE" w:rsidRDefault="001245E1" w:rsidP="001245E1">
            <w:pPr>
              <w:rPr>
                <w:rFonts w:cs="Times New Roman"/>
              </w:rPr>
            </w:pPr>
            <w:r w:rsidRPr="00EA2DCE">
              <w:rPr>
                <w:rFonts w:cs="Times New Roman"/>
              </w:rPr>
              <w:t xml:space="preserve">Conduct audits and reports to </w:t>
            </w:r>
            <w:proofErr w:type="spellStart"/>
            <w:r w:rsidRPr="00EA2DCE">
              <w:rPr>
                <w:rFonts w:cs="Times New Roman"/>
              </w:rPr>
              <w:t>BofD</w:t>
            </w:r>
            <w:proofErr w:type="spellEnd"/>
            <w:r w:rsidRPr="00EA2DCE">
              <w:rPr>
                <w:rFonts w:cs="Times New Roman"/>
              </w:rPr>
              <w:t>.</w:t>
            </w:r>
          </w:p>
        </w:tc>
      </w:tr>
      <w:tr w:rsidR="001245E1" w:rsidRPr="00EA2DCE" w:rsidTr="00403C5F">
        <w:trPr>
          <w:trHeight w:val="1880"/>
        </w:trPr>
        <w:tc>
          <w:tcPr>
            <w:tcW w:w="1620" w:type="dxa"/>
            <w:shd w:val="clear" w:color="auto" w:fill="auto"/>
          </w:tcPr>
          <w:p w:rsidR="001245E1" w:rsidRDefault="00DE7A21" w:rsidP="001245E1">
            <w:pPr>
              <w:rPr>
                <w:rStyle w:val="Hyperlink"/>
                <w:rFonts w:cs="Times New Roman"/>
              </w:rPr>
            </w:pPr>
            <w:hyperlink r:id="rId20" w:history="1">
              <w:r w:rsidR="00EB5F1A" w:rsidRPr="00EA2DCE">
                <w:rPr>
                  <w:rStyle w:val="Hyperlink"/>
                  <w:rFonts w:cs="Times New Roman"/>
                </w:rPr>
                <w:t>FHA</w:t>
              </w:r>
            </w:hyperlink>
          </w:p>
          <w:p w:rsidR="008D1B52" w:rsidRPr="00EA2DCE" w:rsidRDefault="00DE7A21" w:rsidP="001245E1">
            <w:hyperlink r:id="rId21" w:history="1">
              <w:r w:rsidR="008D1B52" w:rsidRPr="008D1B52">
                <w:rPr>
                  <w:rStyle w:val="Hyperlink"/>
                  <w:rFonts w:cs="Times New Roman"/>
                </w:rPr>
                <w:t>DOJ</w:t>
              </w:r>
            </w:hyperlink>
          </w:p>
        </w:tc>
        <w:tc>
          <w:tcPr>
            <w:tcW w:w="1890" w:type="dxa"/>
            <w:shd w:val="clear" w:color="auto" w:fill="auto"/>
          </w:tcPr>
          <w:p w:rsidR="00EB5F1A" w:rsidRPr="00EA2DCE" w:rsidRDefault="00EB5F1A" w:rsidP="00EB5F1A">
            <w:pPr>
              <w:rPr>
                <w:rFonts w:cs="Times New Roman"/>
              </w:rPr>
            </w:pPr>
            <w:r w:rsidRPr="00EA2DCE">
              <w:rPr>
                <w:rFonts w:cs="Times New Roman"/>
              </w:rPr>
              <w:t xml:space="preserve">Advocate Law Groups of Florida, P.A., Jon B. Lindeman, Jr., and </w:t>
            </w:r>
            <w:proofErr w:type="spellStart"/>
            <w:r w:rsidRPr="00EA2DCE">
              <w:rPr>
                <w:rFonts w:cs="Times New Roman"/>
              </w:rPr>
              <w:t>Ephigenia</w:t>
            </w:r>
            <w:proofErr w:type="spellEnd"/>
            <w:r w:rsidRPr="00EA2DCE">
              <w:rPr>
                <w:rFonts w:cs="Times New Roman"/>
              </w:rPr>
              <w:t xml:space="preserve"> K. Lindeman</w:t>
            </w:r>
          </w:p>
          <w:p w:rsidR="001245E1" w:rsidRPr="00EA2DCE" w:rsidRDefault="001245E1" w:rsidP="001245E1">
            <w:pPr>
              <w:rPr>
                <w:rFonts w:cs="Times New Roman"/>
              </w:rPr>
            </w:pPr>
          </w:p>
        </w:tc>
        <w:tc>
          <w:tcPr>
            <w:tcW w:w="4410" w:type="dxa"/>
            <w:shd w:val="clear" w:color="auto" w:fill="auto"/>
          </w:tcPr>
          <w:p w:rsidR="001245E1" w:rsidRPr="00EA2DCE" w:rsidRDefault="001245E1" w:rsidP="001245E1">
            <w:pPr>
              <w:pStyle w:val="ListParagraph"/>
              <w:numPr>
                <w:ilvl w:val="0"/>
                <w:numId w:val="2"/>
              </w:numPr>
              <w:rPr>
                <w:rFonts w:cs="Times New Roman"/>
                <w:lang w:val="en"/>
              </w:rPr>
            </w:pPr>
            <w:r>
              <w:rPr>
                <w:rFonts w:cs="Times New Roman"/>
                <w:lang w:val="en"/>
              </w:rPr>
              <w:t>T</w:t>
            </w:r>
            <w:r w:rsidRPr="00EA2DCE">
              <w:rPr>
                <w:rFonts w:cs="Times New Roman"/>
                <w:lang w:val="en"/>
              </w:rPr>
              <w:t>argeted Hispanic families through deceptive ad campaign</w:t>
            </w:r>
            <w:r>
              <w:rPr>
                <w:rFonts w:cs="Times New Roman"/>
                <w:lang w:val="en"/>
              </w:rPr>
              <w:t>s</w:t>
            </w:r>
          </w:p>
          <w:p w:rsidR="001245E1" w:rsidRPr="00EA2DCE" w:rsidRDefault="001245E1" w:rsidP="001245E1">
            <w:pPr>
              <w:pStyle w:val="ListParagraph"/>
              <w:numPr>
                <w:ilvl w:val="0"/>
                <w:numId w:val="2"/>
              </w:numPr>
              <w:rPr>
                <w:rFonts w:cs="Times New Roman"/>
                <w:lang w:val="en"/>
              </w:rPr>
            </w:pPr>
            <w:r>
              <w:rPr>
                <w:rFonts w:cs="Times New Roman"/>
                <w:lang w:val="en"/>
              </w:rPr>
              <w:t>E</w:t>
            </w:r>
            <w:r w:rsidRPr="00EA2DCE">
              <w:rPr>
                <w:rFonts w:cs="Times New Roman"/>
                <w:lang w:val="en"/>
              </w:rPr>
              <w:t xml:space="preserve">ntice families </w:t>
            </w:r>
            <w:r>
              <w:rPr>
                <w:rFonts w:cs="Times New Roman"/>
                <w:lang w:val="en"/>
              </w:rPr>
              <w:t>to pay significant upfront fees /</w:t>
            </w:r>
            <w:r w:rsidRPr="00EA2DCE">
              <w:rPr>
                <w:rFonts w:cs="Times New Roman"/>
                <w:lang w:val="en"/>
              </w:rPr>
              <w:t xml:space="preserve">sign contracts predominantly written in English.  </w:t>
            </w:r>
          </w:p>
          <w:p w:rsidR="001245E1" w:rsidRPr="00EA2DCE" w:rsidRDefault="001245E1" w:rsidP="001245E1">
            <w:pPr>
              <w:pStyle w:val="ListParagraph"/>
              <w:numPr>
                <w:ilvl w:val="0"/>
                <w:numId w:val="2"/>
              </w:numPr>
              <w:rPr>
                <w:rFonts w:cs="Times New Roman"/>
                <w:lang w:val="en"/>
              </w:rPr>
            </w:pPr>
            <w:r>
              <w:rPr>
                <w:rFonts w:cs="Times New Roman"/>
                <w:lang w:val="en"/>
              </w:rPr>
              <w:t>Instructed</w:t>
            </w:r>
            <w:r w:rsidRPr="00EA2DCE">
              <w:rPr>
                <w:rFonts w:cs="Times New Roman"/>
                <w:lang w:val="en"/>
              </w:rPr>
              <w:t xml:space="preserve"> homeowners to stop making mortgage payments</w:t>
            </w:r>
          </w:p>
          <w:p w:rsidR="001245E1" w:rsidRPr="00EA2DCE" w:rsidRDefault="001245E1" w:rsidP="00EB5F1A">
            <w:pPr>
              <w:pStyle w:val="ListParagraph"/>
              <w:numPr>
                <w:ilvl w:val="0"/>
                <w:numId w:val="2"/>
              </w:numPr>
              <w:rPr>
                <w:rFonts w:cs="Times New Roman"/>
                <w:color w:val="000000"/>
                <w:lang w:val="en"/>
              </w:rPr>
            </w:pPr>
            <w:r>
              <w:rPr>
                <w:rFonts w:cs="Times New Roman"/>
                <w:lang w:val="en"/>
              </w:rPr>
              <w:t>T</w:t>
            </w:r>
            <w:r w:rsidR="00EB5F1A">
              <w:rPr>
                <w:rFonts w:cs="Times New Roman"/>
                <w:lang w:val="en"/>
              </w:rPr>
              <w:t xml:space="preserve">hreatened </w:t>
            </w:r>
            <w:r w:rsidRPr="00EA2DCE">
              <w:rPr>
                <w:rFonts w:cs="Times New Roman"/>
                <w:lang w:val="en"/>
              </w:rPr>
              <w:t xml:space="preserve">fines, or foreclosure if </w:t>
            </w:r>
            <w:r w:rsidR="00EB5F1A">
              <w:rPr>
                <w:rFonts w:cs="Times New Roman"/>
                <w:lang w:val="en"/>
              </w:rPr>
              <w:t>borrower</w:t>
            </w:r>
            <w:r w:rsidRPr="00EA2DCE">
              <w:rPr>
                <w:rFonts w:cs="Times New Roman"/>
                <w:lang w:val="en"/>
              </w:rPr>
              <w:t xml:space="preserve"> sought to</w:t>
            </w:r>
            <w:r w:rsidR="00EB5F1A">
              <w:rPr>
                <w:rFonts w:cs="Times New Roman"/>
                <w:lang w:val="en"/>
              </w:rPr>
              <w:t xml:space="preserve"> terminate their relationship and </w:t>
            </w:r>
            <w:r>
              <w:rPr>
                <w:rFonts w:cs="Times New Roman"/>
                <w:lang w:val="en"/>
              </w:rPr>
              <w:t>F</w:t>
            </w:r>
            <w:r w:rsidRPr="00EA2DCE">
              <w:rPr>
                <w:rFonts w:cs="Times New Roman"/>
                <w:lang w:val="en"/>
              </w:rPr>
              <w:t>ailed to obtain favorable mortgage modifications while charging thousands of dollars in up-front and recurring monthly fees.</w:t>
            </w:r>
          </w:p>
        </w:tc>
        <w:tc>
          <w:tcPr>
            <w:tcW w:w="1350" w:type="dxa"/>
            <w:shd w:val="clear" w:color="auto" w:fill="auto"/>
          </w:tcPr>
          <w:p w:rsidR="001245E1" w:rsidRPr="00EA2DCE" w:rsidRDefault="00EB5F1A" w:rsidP="00085D36">
            <w:pPr>
              <w:rPr>
                <w:rFonts w:cs="Times New Roman"/>
              </w:rPr>
            </w:pPr>
            <w:r w:rsidRPr="00EA2DCE">
              <w:rPr>
                <w:rFonts w:cs="Times New Roman"/>
              </w:rPr>
              <w:t xml:space="preserve">Charge Of </w:t>
            </w:r>
            <w:proofErr w:type="spellStart"/>
            <w:r w:rsidRPr="00EA2DCE">
              <w:rPr>
                <w:rFonts w:cs="Times New Roman"/>
              </w:rPr>
              <w:t>Discrimina-tion</w:t>
            </w:r>
            <w:proofErr w:type="spellEnd"/>
            <w:r w:rsidR="008D1B52">
              <w:rPr>
                <w:rFonts w:cs="Times New Roman"/>
              </w:rPr>
              <w:t>/ Complaint filed by DOJ</w:t>
            </w:r>
          </w:p>
        </w:tc>
        <w:tc>
          <w:tcPr>
            <w:tcW w:w="1260" w:type="dxa"/>
            <w:shd w:val="clear" w:color="auto" w:fill="auto"/>
          </w:tcPr>
          <w:p w:rsidR="001245E1" w:rsidRDefault="00EB5F1A">
            <w:pPr>
              <w:rPr>
                <w:rFonts w:cs="Times New Roman"/>
              </w:rPr>
            </w:pPr>
            <w:r w:rsidRPr="00EA2DCE">
              <w:rPr>
                <w:rFonts w:cs="Times New Roman"/>
              </w:rPr>
              <w:t>HUD</w:t>
            </w:r>
            <w:r w:rsidR="008D1B52">
              <w:rPr>
                <w:rFonts w:cs="Times New Roman"/>
              </w:rPr>
              <w:t>/</w:t>
            </w:r>
          </w:p>
          <w:p w:rsidR="008D1B52" w:rsidRPr="00EA2DCE" w:rsidRDefault="008D1B52">
            <w:pPr>
              <w:rPr>
                <w:rFonts w:cs="Times New Roman"/>
              </w:rPr>
            </w:pPr>
            <w:r>
              <w:rPr>
                <w:rFonts w:cs="Times New Roman"/>
              </w:rPr>
              <w:t>DOJ</w:t>
            </w:r>
          </w:p>
        </w:tc>
        <w:tc>
          <w:tcPr>
            <w:tcW w:w="1080" w:type="dxa"/>
            <w:shd w:val="clear" w:color="auto" w:fill="auto"/>
          </w:tcPr>
          <w:p w:rsidR="001245E1" w:rsidRPr="00EA2DCE" w:rsidRDefault="00EB5F1A">
            <w:pPr>
              <w:rPr>
                <w:rFonts w:cs="Times New Roman"/>
              </w:rPr>
            </w:pPr>
            <w:r w:rsidRPr="00EA2DCE">
              <w:rPr>
                <w:rFonts w:cs="Times New Roman"/>
              </w:rPr>
              <w:t>9/11/18</w:t>
            </w:r>
            <w:r w:rsidR="008D1B52">
              <w:rPr>
                <w:rFonts w:cs="Times New Roman"/>
              </w:rPr>
              <w:t>/10/29/18</w:t>
            </w:r>
          </w:p>
        </w:tc>
        <w:tc>
          <w:tcPr>
            <w:tcW w:w="2880" w:type="dxa"/>
            <w:shd w:val="clear" w:color="auto" w:fill="auto"/>
          </w:tcPr>
          <w:p w:rsidR="001245E1" w:rsidRPr="00EA2DCE" w:rsidRDefault="00EB5F1A" w:rsidP="001245E1">
            <w:pPr>
              <w:rPr>
                <w:rFonts w:cs="Times New Roman"/>
              </w:rPr>
            </w:pPr>
            <w:r w:rsidRPr="005D2195">
              <w:rPr>
                <w:rFonts w:cs="Times New Roman"/>
                <w:highlight w:val="yellow"/>
              </w:rPr>
              <w:t>Pending</w:t>
            </w:r>
          </w:p>
        </w:tc>
      </w:tr>
      <w:tr w:rsidR="004D559E" w:rsidRPr="00EA2DCE" w:rsidTr="001B4468">
        <w:trPr>
          <w:cantSplit/>
          <w:trHeight w:val="238"/>
        </w:trPr>
        <w:tc>
          <w:tcPr>
            <w:tcW w:w="1620" w:type="dxa"/>
            <w:shd w:val="clear" w:color="auto" w:fill="auto"/>
          </w:tcPr>
          <w:p w:rsidR="004D559E" w:rsidRPr="00EA2DCE" w:rsidRDefault="00DE7A21">
            <w:pPr>
              <w:rPr>
                <w:rFonts w:cs="Times New Roman"/>
              </w:rPr>
            </w:pPr>
            <w:hyperlink r:id="rId22" w:history="1">
              <w:r w:rsidR="004D559E" w:rsidRPr="00EA2DCE">
                <w:rPr>
                  <w:rStyle w:val="Hyperlink"/>
                  <w:rFonts w:cs="Times New Roman"/>
                </w:rPr>
                <w:t>UDAAP</w:t>
              </w:r>
            </w:hyperlink>
          </w:p>
        </w:tc>
        <w:tc>
          <w:tcPr>
            <w:tcW w:w="1890" w:type="dxa"/>
            <w:shd w:val="clear" w:color="auto" w:fill="auto"/>
          </w:tcPr>
          <w:p w:rsidR="004D559E" w:rsidRPr="00EA2DCE" w:rsidRDefault="004D559E">
            <w:pPr>
              <w:rPr>
                <w:rFonts w:cs="Times New Roman"/>
              </w:rPr>
            </w:pPr>
            <w:r w:rsidRPr="00EA2DCE">
              <w:rPr>
                <w:rFonts w:cs="Times New Roman"/>
              </w:rPr>
              <w:t>Future Income Payments, LLC</w:t>
            </w:r>
          </w:p>
        </w:tc>
        <w:tc>
          <w:tcPr>
            <w:tcW w:w="4410" w:type="dxa"/>
            <w:shd w:val="clear" w:color="auto" w:fill="auto"/>
          </w:tcPr>
          <w:p w:rsidR="004D559E" w:rsidRPr="00EA2DCE" w:rsidRDefault="004D559E" w:rsidP="00EE3B88">
            <w:pPr>
              <w:pStyle w:val="ListParagraph"/>
              <w:numPr>
                <w:ilvl w:val="0"/>
                <w:numId w:val="2"/>
              </w:numPr>
              <w:rPr>
                <w:rFonts w:cs="Times New Roman"/>
              </w:rPr>
            </w:pPr>
            <w:r w:rsidRPr="00EA2DCE">
              <w:rPr>
                <w:rFonts w:cs="Times New Roman"/>
                <w:lang w:val="en"/>
              </w:rPr>
              <w:t>Alleges that FIP represented to consumers that their pension-advance products were not loans, were not subject to interest rates, and were comparable in cost to, or cheaper than, credit-card debt when, in actuality, the pension-advance products were loans, and were subject to interest rates that were substantially higher than credit-card interest rates.</w:t>
            </w:r>
          </w:p>
        </w:tc>
        <w:tc>
          <w:tcPr>
            <w:tcW w:w="1350" w:type="dxa"/>
            <w:shd w:val="clear" w:color="auto" w:fill="auto"/>
          </w:tcPr>
          <w:p w:rsidR="004D559E" w:rsidRPr="00EA2DCE" w:rsidRDefault="004D559E">
            <w:pPr>
              <w:rPr>
                <w:rFonts w:cs="Times New Roman"/>
              </w:rPr>
            </w:pPr>
            <w:r w:rsidRPr="00EA2DCE">
              <w:rPr>
                <w:rFonts w:cs="Times New Roman"/>
              </w:rPr>
              <w:t>Formal Complaint</w:t>
            </w:r>
          </w:p>
        </w:tc>
        <w:tc>
          <w:tcPr>
            <w:tcW w:w="1260" w:type="dxa"/>
            <w:shd w:val="clear" w:color="auto" w:fill="auto"/>
          </w:tcPr>
          <w:p w:rsidR="004D559E" w:rsidRPr="00EA2DCE" w:rsidRDefault="00CD7F5C">
            <w:pPr>
              <w:rPr>
                <w:rFonts w:cs="Times New Roman"/>
              </w:rPr>
            </w:pPr>
            <w:r w:rsidRPr="00EA2DCE">
              <w:rPr>
                <w:rFonts w:cs="Times New Roman"/>
              </w:rPr>
              <w:t>CFPB</w:t>
            </w:r>
          </w:p>
        </w:tc>
        <w:tc>
          <w:tcPr>
            <w:tcW w:w="1080" w:type="dxa"/>
            <w:shd w:val="clear" w:color="auto" w:fill="auto"/>
          </w:tcPr>
          <w:p w:rsidR="004D559E" w:rsidRPr="00EA2DCE" w:rsidRDefault="005046B0" w:rsidP="005046B0">
            <w:pPr>
              <w:rPr>
                <w:rFonts w:cs="Times New Roman"/>
              </w:rPr>
            </w:pPr>
            <w:r>
              <w:rPr>
                <w:rFonts w:cs="Times New Roman"/>
              </w:rPr>
              <w:t>9</w:t>
            </w:r>
            <w:r w:rsidR="004D559E" w:rsidRPr="00EA2DCE">
              <w:rPr>
                <w:rFonts w:cs="Times New Roman"/>
              </w:rPr>
              <w:t>/</w:t>
            </w:r>
            <w:r>
              <w:rPr>
                <w:rFonts w:cs="Times New Roman"/>
              </w:rPr>
              <w:t>13</w:t>
            </w:r>
            <w:r w:rsidR="004D559E" w:rsidRPr="00EA2DCE">
              <w:rPr>
                <w:rFonts w:cs="Times New Roman"/>
              </w:rPr>
              <w:t>/18</w:t>
            </w:r>
          </w:p>
        </w:tc>
        <w:tc>
          <w:tcPr>
            <w:tcW w:w="2880" w:type="dxa"/>
            <w:shd w:val="clear" w:color="auto" w:fill="auto"/>
          </w:tcPr>
          <w:p w:rsidR="004D559E" w:rsidRPr="00EA2DCE" w:rsidRDefault="004D559E" w:rsidP="00F96BCE">
            <w:pPr>
              <w:rPr>
                <w:rFonts w:cs="Times New Roman"/>
              </w:rPr>
            </w:pPr>
            <w:r w:rsidRPr="005D2195">
              <w:rPr>
                <w:rFonts w:cs="Times New Roman"/>
                <w:highlight w:val="yellow"/>
              </w:rPr>
              <w:t>Pending</w:t>
            </w:r>
          </w:p>
        </w:tc>
      </w:tr>
      <w:tr w:rsidR="004F0404" w:rsidRPr="00EA2DCE" w:rsidTr="001B4468">
        <w:trPr>
          <w:cantSplit/>
          <w:trHeight w:val="238"/>
        </w:trPr>
        <w:tc>
          <w:tcPr>
            <w:tcW w:w="1620" w:type="dxa"/>
            <w:shd w:val="clear" w:color="auto" w:fill="auto"/>
          </w:tcPr>
          <w:p w:rsidR="004F0404" w:rsidRPr="00EA2DCE" w:rsidRDefault="00DE7A21">
            <w:pPr>
              <w:rPr>
                <w:rFonts w:cs="Times New Roman"/>
              </w:rPr>
            </w:pPr>
            <w:hyperlink r:id="rId23" w:history="1">
              <w:r w:rsidR="004F0404" w:rsidRPr="00EA2DCE">
                <w:rPr>
                  <w:rStyle w:val="Hyperlink"/>
                  <w:rFonts w:cs="Times New Roman"/>
                </w:rPr>
                <w:t>Flood</w:t>
              </w:r>
            </w:hyperlink>
          </w:p>
        </w:tc>
        <w:tc>
          <w:tcPr>
            <w:tcW w:w="1890" w:type="dxa"/>
            <w:shd w:val="clear" w:color="auto" w:fill="auto"/>
          </w:tcPr>
          <w:p w:rsidR="00B36CD8" w:rsidRPr="00EA2DCE" w:rsidRDefault="00EE3B88">
            <w:pPr>
              <w:rPr>
                <w:rFonts w:cs="Times New Roman"/>
              </w:rPr>
            </w:pPr>
            <w:r w:rsidRPr="00EA2DCE">
              <w:rPr>
                <w:rFonts w:cs="Times New Roman"/>
              </w:rPr>
              <w:t>The Bank of New York Mellon</w:t>
            </w:r>
            <w:r w:rsidR="00C53D35" w:rsidRPr="00EA2DCE">
              <w:rPr>
                <w:rFonts w:cs="Times New Roman"/>
              </w:rPr>
              <w:t xml:space="preserve"> </w:t>
            </w:r>
          </w:p>
          <w:p w:rsidR="004F0404" w:rsidRPr="00EA2DCE" w:rsidRDefault="00C53D35">
            <w:pPr>
              <w:rPr>
                <w:rFonts w:cs="Times New Roman"/>
              </w:rPr>
            </w:pPr>
            <w:r w:rsidRPr="00EA2DCE">
              <w:rPr>
                <w:rFonts w:cs="Times New Roman"/>
              </w:rPr>
              <w:t>(New York, NY)</w:t>
            </w:r>
          </w:p>
        </w:tc>
        <w:tc>
          <w:tcPr>
            <w:tcW w:w="4410" w:type="dxa"/>
            <w:shd w:val="clear" w:color="auto" w:fill="auto"/>
          </w:tcPr>
          <w:p w:rsidR="004F0404" w:rsidRPr="00EA2DCE" w:rsidRDefault="004F0404" w:rsidP="00EE3B88">
            <w:pPr>
              <w:pStyle w:val="ListParagraph"/>
              <w:numPr>
                <w:ilvl w:val="0"/>
                <w:numId w:val="2"/>
              </w:numPr>
              <w:rPr>
                <w:rFonts w:cs="Times New Roman"/>
              </w:rPr>
            </w:pPr>
            <w:r w:rsidRPr="00EA2DCE">
              <w:rPr>
                <w:rFonts w:cs="Times New Roman"/>
              </w:rPr>
              <w:t>Pattern or practice of violations of Regulation H, 12 C.F.R. § 208.25</w:t>
            </w:r>
            <w:r w:rsidR="00EE3B88" w:rsidRPr="00EA2DCE">
              <w:rPr>
                <w:rFonts w:cs="Times New Roman"/>
              </w:rPr>
              <w:t>.</w:t>
            </w:r>
          </w:p>
        </w:tc>
        <w:tc>
          <w:tcPr>
            <w:tcW w:w="1350" w:type="dxa"/>
            <w:shd w:val="clear" w:color="auto" w:fill="auto"/>
          </w:tcPr>
          <w:p w:rsidR="004F0404" w:rsidRPr="00EA2DCE" w:rsidRDefault="00EE3B88">
            <w:pPr>
              <w:rPr>
                <w:rFonts w:cs="Times New Roman"/>
              </w:rPr>
            </w:pPr>
            <w:r w:rsidRPr="00EA2DCE">
              <w:rPr>
                <w:rFonts w:cs="Times New Roman"/>
              </w:rPr>
              <w:t>CMP</w:t>
            </w:r>
          </w:p>
        </w:tc>
        <w:tc>
          <w:tcPr>
            <w:tcW w:w="1260" w:type="dxa"/>
            <w:shd w:val="clear" w:color="auto" w:fill="auto"/>
          </w:tcPr>
          <w:p w:rsidR="004F0404" w:rsidRPr="00EA2DCE" w:rsidRDefault="00EE3B88">
            <w:pPr>
              <w:rPr>
                <w:rFonts w:cs="Times New Roman"/>
              </w:rPr>
            </w:pPr>
            <w:r w:rsidRPr="00EA2DCE">
              <w:rPr>
                <w:rFonts w:cs="Times New Roman"/>
              </w:rPr>
              <w:t>FRB</w:t>
            </w:r>
          </w:p>
        </w:tc>
        <w:tc>
          <w:tcPr>
            <w:tcW w:w="1080" w:type="dxa"/>
            <w:shd w:val="clear" w:color="auto" w:fill="auto"/>
          </w:tcPr>
          <w:p w:rsidR="004F0404" w:rsidRPr="00EA2DCE" w:rsidRDefault="00EE3B88">
            <w:pPr>
              <w:rPr>
                <w:rFonts w:cs="Times New Roman"/>
              </w:rPr>
            </w:pPr>
            <w:r w:rsidRPr="00EA2DCE">
              <w:rPr>
                <w:rFonts w:cs="Times New Roman"/>
              </w:rPr>
              <w:t>8/28/18</w:t>
            </w:r>
          </w:p>
        </w:tc>
        <w:tc>
          <w:tcPr>
            <w:tcW w:w="2880" w:type="dxa"/>
            <w:shd w:val="clear" w:color="auto" w:fill="auto"/>
          </w:tcPr>
          <w:p w:rsidR="004F0404" w:rsidRPr="00EA2DCE" w:rsidRDefault="00AF667B" w:rsidP="00F96BCE">
            <w:pPr>
              <w:rPr>
                <w:rFonts w:cs="Times New Roman"/>
              </w:rPr>
            </w:pPr>
            <w:r w:rsidRPr="00EA2DCE">
              <w:rPr>
                <w:rFonts w:cs="Times New Roman"/>
              </w:rPr>
              <w:t>CMP:</w:t>
            </w:r>
            <w:r w:rsidR="004F0404" w:rsidRPr="00EA2DCE">
              <w:rPr>
                <w:rFonts w:cs="Times New Roman"/>
              </w:rPr>
              <w:t xml:space="preserve"> $16,000</w:t>
            </w:r>
          </w:p>
        </w:tc>
      </w:tr>
      <w:tr w:rsidR="008F2671" w:rsidRPr="00EA2DCE" w:rsidTr="001B4468">
        <w:trPr>
          <w:cantSplit/>
          <w:trHeight w:val="238"/>
        </w:trPr>
        <w:tc>
          <w:tcPr>
            <w:tcW w:w="1620" w:type="dxa"/>
            <w:shd w:val="clear" w:color="auto" w:fill="auto"/>
          </w:tcPr>
          <w:p w:rsidR="008F2671" w:rsidRPr="00EA2DCE" w:rsidRDefault="00DE7A21" w:rsidP="008F2671">
            <w:pPr>
              <w:rPr>
                <w:rFonts w:cs="Times New Roman"/>
              </w:rPr>
            </w:pPr>
            <w:hyperlink r:id="rId24" w:history="1">
              <w:r w:rsidR="008F2671" w:rsidRPr="00EA2DCE">
                <w:rPr>
                  <w:rStyle w:val="Hyperlink"/>
                  <w:rFonts w:cs="Times New Roman"/>
                </w:rPr>
                <w:t>FHA/Fair Lending</w:t>
              </w:r>
            </w:hyperlink>
          </w:p>
          <w:p w:rsidR="008F2671" w:rsidRPr="00EA2DCE" w:rsidRDefault="008F2671" w:rsidP="008F2671">
            <w:pPr>
              <w:rPr>
                <w:rFonts w:cs="Times New Roman"/>
              </w:rPr>
            </w:pPr>
          </w:p>
          <w:p w:rsidR="008F2671" w:rsidRPr="00EA2DCE" w:rsidRDefault="00DE7A21" w:rsidP="008F2671">
            <w:pPr>
              <w:rPr>
                <w:rFonts w:cs="Times New Roman"/>
              </w:rPr>
            </w:pPr>
            <w:hyperlink r:id="rId25" w:history="1">
              <w:r w:rsidR="008F2671" w:rsidRPr="00EA2DCE">
                <w:rPr>
                  <w:rStyle w:val="Hyperlink"/>
                  <w:rFonts w:cs="Times New Roman"/>
                </w:rPr>
                <w:t>FHA/Fair Lending</w:t>
              </w:r>
            </w:hyperlink>
          </w:p>
          <w:p w:rsidR="008F2671" w:rsidRPr="00EA2DCE" w:rsidRDefault="008F2671" w:rsidP="008F2671">
            <w:pPr>
              <w:rPr>
                <w:rFonts w:cs="Times New Roman"/>
              </w:rPr>
            </w:pPr>
            <w:r w:rsidRPr="00EA2DCE">
              <w:rPr>
                <w:rFonts w:cs="Times New Roman"/>
              </w:rPr>
              <w:t>(All HUD actions for 2018)</w:t>
            </w:r>
          </w:p>
        </w:tc>
        <w:tc>
          <w:tcPr>
            <w:tcW w:w="1890" w:type="dxa"/>
            <w:shd w:val="clear" w:color="auto" w:fill="auto"/>
          </w:tcPr>
          <w:p w:rsidR="008F2671" w:rsidRPr="00EA2DCE" w:rsidRDefault="008F2671">
            <w:pPr>
              <w:rPr>
                <w:rFonts w:cs="Times New Roman"/>
              </w:rPr>
            </w:pPr>
            <w:r w:rsidRPr="00EA2DCE">
              <w:rPr>
                <w:rFonts w:cs="Times New Roman"/>
              </w:rPr>
              <w:t>Facebook</w:t>
            </w:r>
          </w:p>
        </w:tc>
        <w:tc>
          <w:tcPr>
            <w:tcW w:w="4410" w:type="dxa"/>
            <w:shd w:val="clear" w:color="auto" w:fill="auto"/>
          </w:tcPr>
          <w:p w:rsidR="008F2671" w:rsidRPr="00EA2DCE" w:rsidRDefault="008F2671" w:rsidP="00EE3B88">
            <w:pPr>
              <w:pStyle w:val="ListParagraph"/>
              <w:numPr>
                <w:ilvl w:val="0"/>
                <w:numId w:val="2"/>
              </w:numPr>
              <w:rPr>
                <w:rFonts w:cs="Times New Roman"/>
              </w:rPr>
            </w:pPr>
            <w:r w:rsidRPr="00EA2DCE">
              <w:rPr>
                <w:rFonts w:cs="Times New Roman"/>
                <w:color w:val="000000"/>
                <w:shd w:val="clear" w:color="auto" w:fill="FFFFFF"/>
              </w:rPr>
              <w:t>Violating the Fair Housing Act by allowing landlords and home sellers to use its advertising platform to engage in housing discrimination.</w:t>
            </w:r>
          </w:p>
        </w:tc>
        <w:tc>
          <w:tcPr>
            <w:tcW w:w="1350" w:type="dxa"/>
            <w:shd w:val="clear" w:color="auto" w:fill="auto"/>
          </w:tcPr>
          <w:p w:rsidR="008F2671" w:rsidRPr="00EA2DCE" w:rsidRDefault="008F2671">
            <w:pPr>
              <w:rPr>
                <w:rFonts w:cs="Times New Roman"/>
              </w:rPr>
            </w:pPr>
            <w:r w:rsidRPr="00EA2DCE">
              <w:rPr>
                <w:rFonts w:cs="Times New Roman"/>
              </w:rPr>
              <w:t>Formal Complaint</w:t>
            </w:r>
          </w:p>
        </w:tc>
        <w:tc>
          <w:tcPr>
            <w:tcW w:w="1260" w:type="dxa"/>
            <w:shd w:val="clear" w:color="auto" w:fill="auto"/>
          </w:tcPr>
          <w:p w:rsidR="008F2671" w:rsidRPr="00EA2DCE" w:rsidRDefault="008F2671">
            <w:pPr>
              <w:rPr>
                <w:rFonts w:cs="Times New Roman"/>
              </w:rPr>
            </w:pPr>
            <w:r w:rsidRPr="00EA2DCE">
              <w:rPr>
                <w:rFonts w:cs="Times New Roman"/>
              </w:rPr>
              <w:t>HUD</w:t>
            </w:r>
          </w:p>
        </w:tc>
        <w:tc>
          <w:tcPr>
            <w:tcW w:w="1080" w:type="dxa"/>
            <w:shd w:val="clear" w:color="auto" w:fill="auto"/>
          </w:tcPr>
          <w:p w:rsidR="008F2671" w:rsidRPr="00EA2DCE" w:rsidRDefault="008F2671">
            <w:pPr>
              <w:rPr>
                <w:rFonts w:cs="Times New Roman"/>
              </w:rPr>
            </w:pPr>
            <w:r w:rsidRPr="00EA2DCE">
              <w:rPr>
                <w:rFonts w:cs="Times New Roman"/>
              </w:rPr>
              <w:t>8/17/18</w:t>
            </w:r>
          </w:p>
        </w:tc>
        <w:tc>
          <w:tcPr>
            <w:tcW w:w="2880" w:type="dxa"/>
            <w:shd w:val="clear" w:color="auto" w:fill="auto"/>
          </w:tcPr>
          <w:p w:rsidR="005D2195" w:rsidRPr="00EA2DCE" w:rsidRDefault="005D2195" w:rsidP="00F96BCE">
            <w:pPr>
              <w:rPr>
                <w:rFonts w:cs="Times New Roman"/>
              </w:rPr>
            </w:pPr>
            <w:r w:rsidRPr="00BF7A4B">
              <w:rPr>
                <w:rFonts w:cs="Times New Roman"/>
                <w:highlight w:val="yellow"/>
              </w:rPr>
              <w:t>Charge of Discrimination issued 3/28/19 (See 2019 Lending Enforcement Actions chart.)</w:t>
            </w:r>
          </w:p>
        </w:tc>
      </w:tr>
      <w:tr w:rsidR="00AF667B" w:rsidRPr="00EA2DCE" w:rsidTr="001B4468">
        <w:trPr>
          <w:cantSplit/>
          <w:trHeight w:val="238"/>
        </w:trPr>
        <w:tc>
          <w:tcPr>
            <w:tcW w:w="1620" w:type="dxa"/>
            <w:shd w:val="clear" w:color="auto" w:fill="auto"/>
          </w:tcPr>
          <w:p w:rsidR="006D6916" w:rsidRPr="00EA2DCE" w:rsidRDefault="00DE7A21">
            <w:pPr>
              <w:rPr>
                <w:rFonts w:cs="Times New Roman"/>
              </w:rPr>
            </w:pPr>
            <w:hyperlink r:id="rId26" w:history="1">
              <w:r w:rsidR="00EE3B88" w:rsidRPr="00EA2DCE">
                <w:rPr>
                  <w:rStyle w:val="Hyperlink"/>
                  <w:rFonts w:cs="Times New Roman"/>
                </w:rPr>
                <w:t>Mortgage Loan Servicing</w:t>
              </w:r>
            </w:hyperlink>
          </w:p>
        </w:tc>
        <w:tc>
          <w:tcPr>
            <w:tcW w:w="1890" w:type="dxa"/>
            <w:shd w:val="clear" w:color="auto" w:fill="auto"/>
          </w:tcPr>
          <w:p w:rsidR="00C53D35" w:rsidRPr="00EA2DCE" w:rsidRDefault="00EE3B88">
            <w:pPr>
              <w:rPr>
                <w:rFonts w:cs="Times New Roman"/>
              </w:rPr>
            </w:pPr>
            <w:r w:rsidRPr="00EA2DCE">
              <w:rPr>
                <w:rFonts w:cs="Times New Roman"/>
              </w:rPr>
              <w:t>Citigroup</w:t>
            </w:r>
            <w:r w:rsidR="00C53D35" w:rsidRPr="00EA2DCE">
              <w:rPr>
                <w:rFonts w:cs="Times New Roman"/>
              </w:rPr>
              <w:t xml:space="preserve"> </w:t>
            </w:r>
          </w:p>
          <w:p w:rsidR="006D6916" w:rsidRPr="00EA2DCE" w:rsidRDefault="00C53D35">
            <w:pPr>
              <w:rPr>
                <w:rFonts w:cs="Times New Roman"/>
              </w:rPr>
            </w:pPr>
            <w:r w:rsidRPr="00EA2DCE">
              <w:rPr>
                <w:rFonts w:cs="Times New Roman"/>
              </w:rPr>
              <w:t>(New York, NY)</w:t>
            </w:r>
          </w:p>
        </w:tc>
        <w:tc>
          <w:tcPr>
            <w:tcW w:w="4410" w:type="dxa"/>
            <w:shd w:val="clear" w:color="auto" w:fill="auto"/>
          </w:tcPr>
          <w:p w:rsidR="00AF667B" w:rsidRPr="00EA2DCE" w:rsidRDefault="00AF667B" w:rsidP="00C53D35">
            <w:pPr>
              <w:pStyle w:val="ListParagraph"/>
              <w:numPr>
                <w:ilvl w:val="0"/>
                <w:numId w:val="3"/>
              </w:numPr>
              <w:rPr>
                <w:rFonts w:cs="Times New Roman"/>
              </w:rPr>
            </w:pPr>
            <w:r w:rsidRPr="00EA2DCE">
              <w:rPr>
                <w:rFonts w:cs="Times New Roman"/>
              </w:rPr>
              <w:t xml:space="preserve">Citigroup identified/reported evidence that in 2015: (a) mortgage-related affidavits were executed by CitiFinancial employees making assertions regarding the ownership of the mortgage note (“Lost Note Affidavits”) based on personal knowledge or review of relevant books/records, </w:t>
            </w:r>
            <w:r w:rsidR="00C53D35" w:rsidRPr="00EA2DCE">
              <w:rPr>
                <w:rFonts w:cs="Times New Roman"/>
              </w:rPr>
              <w:t>without such p</w:t>
            </w:r>
            <w:r w:rsidRPr="00EA2DCE">
              <w:rPr>
                <w:rFonts w:cs="Times New Roman"/>
              </w:rPr>
              <w:t>ersonal knowledge or review the relevant books/records; and (b) Lost Note Affidavits were not properly notarized as they were not signed or affirmed in the presence of a notary.</w:t>
            </w:r>
            <w:r w:rsidR="00C53D35" w:rsidRPr="00EA2DCE">
              <w:rPr>
                <w:rFonts w:cs="Times New Roman"/>
              </w:rPr>
              <w:t xml:space="preserve"> CitiFinancial exited the mortgage servicing business in 2017.</w:t>
            </w:r>
          </w:p>
        </w:tc>
        <w:tc>
          <w:tcPr>
            <w:tcW w:w="1350" w:type="dxa"/>
            <w:shd w:val="clear" w:color="auto" w:fill="auto"/>
          </w:tcPr>
          <w:p w:rsidR="006D6916" w:rsidRPr="00EA2DCE" w:rsidRDefault="00EE3B88">
            <w:pPr>
              <w:rPr>
                <w:rFonts w:cs="Times New Roman"/>
              </w:rPr>
            </w:pPr>
            <w:r w:rsidRPr="00EA2DCE">
              <w:rPr>
                <w:rFonts w:cs="Times New Roman"/>
              </w:rPr>
              <w:t>CMP</w:t>
            </w:r>
          </w:p>
        </w:tc>
        <w:tc>
          <w:tcPr>
            <w:tcW w:w="1260" w:type="dxa"/>
            <w:shd w:val="clear" w:color="auto" w:fill="auto"/>
          </w:tcPr>
          <w:p w:rsidR="006D6916" w:rsidRPr="00EA2DCE" w:rsidRDefault="00EE3B88">
            <w:pPr>
              <w:rPr>
                <w:rFonts w:cs="Times New Roman"/>
              </w:rPr>
            </w:pPr>
            <w:r w:rsidRPr="00EA2DCE">
              <w:rPr>
                <w:rFonts w:cs="Times New Roman"/>
              </w:rPr>
              <w:t>FRB</w:t>
            </w:r>
          </w:p>
        </w:tc>
        <w:tc>
          <w:tcPr>
            <w:tcW w:w="1080" w:type="dxa"/>
            <w:shd w:val="clear" w:color="auto" w:fill="auto"/>
          </w:tcPr>
          <w:p w:rsidR="006D6916" w:rsidRPr="00EA2DCE" w:rsidRDefault="00EE3B88">
            <w:pPr>
              <w:rPr>
                <w:rFonts w:cs="Times New Roman"/>
              </w:rPr>
            </w:pPr>
            <w:r w:rsidRPr="00EA2DCE">
              <w:rPr>
                <w:rFonts w:cs="Times New Roman"/>
              </w:rPr>
              <w:t>8/10/18</w:t>
            </w:r>
          </w:p>
        </w:tc>
        <w:tc>
          <w:tcPr>
            <w:tcW w:w="2880" w:type="dxa"/>
            <w:shd w:val="clear" w:color="auto" w:fill="auto"/>
          </w:tcPr>
          <w:p w:rsidR="006D6916" w:rsidRPr="00EA2DCE" w:rsidRDefault="00AF667B">
            <w:pPr>
              <w:rPr>
                <w:rFonts w:cs="Times New Roman"/>
              </w:rPr>
            </w:pPr>
            <w:r w:rsidRPr="00EA2DCE">
              <w:rPr>
                <w:rFonts w:cs="Times New Roman"/>
              </w:rPr>
              <w:t xml:space="preserve">CMP: </w:t>
            </w:r>
            <w:r w:rsidR="00EE3B88" w:rsidRPr="00EA2DCE">
              <w:rPr>
                <w:rFonts w:cs="Times New Roman"/>
              </w:rPr>
              <w:t>$8.6 million</w:t>
            </w:r>
          </w:p>
        </w:tc>
      </w:tr>
      <w:tr w:rsidR="00E8691C" w:rsidRPr="00EA2DCE" w:rsidTr="001B4468">
        <w:trPr>
          <w:cantSplit/>
          <w:trHeight w:val="238"/>
        </w:trPr>
        <w:tc>
          <w:tcPr>
            <w:tcW w:w="1620" w:type="dxa"/>
            <w:shd w:val="clear" w:color="auto" w:fill="auto"/>
          </w:tcPr>
          <w:p w:rsidR="00E8691C" w:rsidRPr="00EA2DCE" w:rsidRDefault="00DE7A21">
            <w:pPr>
              <w:rPr>
                <w:rFonts w:cs="Times New Roman"/>
              </w:rPr>
            </w:pPr>
            <w:hyperlink r:id="rId27" w:history="1">
              <w:r w:rsidR="00E8691C" w:rsidRPr="00EA2DCE">
                <w:rPr>
                  <w:rStyle w:val="Hyperlink"/>
                  <w:rFonts w:cs="Times New Roman"/>
                </w:rPr>
                <w:t>UDAAP/TIL</w:t>
              </w:r>
            </w:hyperlink>
          </w:p>
        </w:tc>
        <w:tc>
          <w:tcPr>
            <w:tcW w:w="1890" w:type="dxa"/>
            <w:shd w:val="clear" w:color="auto" w:fill="auto"/>
          </w:tcPr>
          <w:p w:rsidR="00E8691C" w:rsidRPr="00EA2DCE" w:rsidRDefault="00E8691C">
            <w:pPr>
              <w:rPr>
                <w:rFonts w:cs="Times New Roman"/>
              </w:rPr>
            </w:pPr>
            <w:r w:rsidRPr="00EA2DCE">
              <w:rPr>
                <w:rFonts w:cs="Times New Roman"/>
              </w:rPr>
              <w:t>Triton Management Group</w:t>
            </w:r>
          </w:p>
        </w:tc>
        <w:tc>
          <w:tcPr>
            <w:tcW w:w="4410" w:type="dxa"/>
            <w:shd w:val="clear" w:color="auto" w:fill="auto"/>
          </w:tcPr>
          <w:p w:rsidR="007F431B" w:rsidRPr="00EA2DCE" w:rsidRDefault="00E8691C" w:rsidP="00E8691C">
            <w:pPr>
              <w:pStyle w:val="ListParagraph"/>
              <w:numPr>
                <w:ilvl w:val="0"/>
                <w:numId w:val="3"/>
              </w:numPr>
              <w:rPr>
                <w:rFonts w:cs="Times New Roman"/>
              </w:rPr>
            </w:pPr>
            <w:r w:rsidRPr="00EA2DCE">
              <w:rPr>
                <w:rFonts w:cs="Times New Roman"/>
                <w:lang w:val="en"/>
              </w:rPr>
              <w:t xml:space="preserve">Failed to properly disclose finance charges associated with their auto title loans in Mississippi. </w:t>
            </w:r>
          </w:p>
          <w:p w:rsidR="00E8691C" w:rsidRPr="00EA2DCE" w:rsidRDefault="007F431B" w:rsidP="007F431B">
            <w:pPr>
              <w:pStyle w:val="ListParagraph"/>
              <w:numPr>
                <w:ilvl w:val="0"/>
                <w:numId w:val="3"/>
              </w:numPr>
              <w:rPr>
                <w:rFonts w:cs="Times New Roman"/>
              </w:rPr>
            </w:pPr>
            <w:r w:rsidRPr="00EA2DCE">
              <w:rPr>
                <w:rFonts w:cs="Times New Roman"/>
                <w:lang w:val="en"/>
              </w:rPr>
              <w:t>A</w:t>
            </w:r>
            <w:r w:rsidR="00E8691C" w:rsidRPr="00EA2DCE">
              <w:rPr>
                <w:rFonts w:cs="Times New Roman"/>
                <w:lang w:val="en"/>
              </w:rPr>
              <w:t>dvertisements failed to disclose the annual percentage rate and other information required by the Truth in Lending Act.</w:t>
            </w:r>
          </w:p>
        </w:tc>
        <w:tc>
          <w:tcPr>
            <w:tcW w:w="1350" w:type="dxa"/>
            <w:shd w:val="clear" w:color="auto" w:fill="auto"/>
          </w:tcPr>
          <w:p w:rsidR="00E8691C" w:rsidRPr="00EA2DCE" w:rsidRDefault="007F431B">
            <w:pPr>
              <w:rPr>
                <w:rFonts w:cs="Times New Roman"/>
              </w:rPr>
            </w:pPr>
            <w:r w:rsidRPr="00EA2DCE">
              <w:rPr>
                <w:rFonts w:cs="Times New Roman"/>
              </w:rPr>
              <w:t>Consent Order</w:t>
            </w:r>
          </w:p>
        </w:tc>
        <w:tc>
          <w:tcPr>
            <w:tcW w:w="1260" w:type="dxa"/>
            <w:shd w:val="clear" w:color="auto" w:fill="auto"/>
          </w:tcPr>
          <w:p w:rsidR="00E8691C" w:rsidRPr="00EA2DCE" w:rsidRDefault="00CD7F5C">
            <w:pPr>
              <w:rPr>
                <w:rFonts w:cs="Times New Roman"/>
              </w:rPr>
            </w:pPr>
            <w:r w:rsidRPr="00EA2DCE">
              <w:rPr>
                <w:rFonts w:cs="Times New Roman"/>
              </w:rPr>
              <w:t>CFPB</w:t>
            </w:r>
          </w:p>
        </w:tc>
        <w:tc>
          <w:tcPr>
            <w:tcW w:w="1080" w:type="dxa"/>
            <w:shd w:val="clear" w:color="auto" w:fill="auto"/>
          </w:tcPr>
          <w:p w:rsidR="00E8691C" w:rsidRPr="00EA2DCE" w:rsidRDefault="007F431B">
            <w:pPr>
              <w:rPr>
                <w:rFonts w:cs="Times New Roman"/>
              </w:rPr>
            </w:pPr>
            <w:r w:rsidRPr="00EA2DCE">
              <w:rPr>
                <w:rFonts w:cs="Times New Roman"/>
              </w:rPr>
              <w:t>7/19</w:t>
            </w:r>
            <w:r w:rsidR="009616B0" w:rsidRPr="00EA2DCE">
              <w:rPr>
                <w:rFonts w:cs="Times New Roman"/>
              </w:rPr>
              <w:t>/</w:t>
            </w:r>
            <w:r w:rsidRPr="00EA2DCE">
              <w:rPr>
                <w:rFonts w:cs="Times New Roman"/>
              </w:rPr>
              <w:t>18</w:t>
            </w:r>
          </w:p>
        </w:tc>
        <w:tc>
          <w:tcPr>
            <w:tcW w:w="2880" w:type="dxa"/>
            <w:shd w:val="clear" w:color="auto" w:fill="auto"/>
          </w:tcPr>
          <w:p w:rsidR="00E8691C" w:rsidRPr="00EA2DCE" w:rsidRDefault="007F431B" w:rsidP="007F431B">
            <w:pPr>
              <w:rPr>
                <w:rFonts w:cs="Times New Roman"/>
                <w:lang w:val="en"/>
              </w:rPr>
            </w:pPr>
            <w:r w:rsidRPr="00EA2DCE">
              <w:rPr>
                <w:rFonts w:cs="Times New Roman"/>
              </w:rPr>
              <w:t>CMP: $</w:t>
            </w:r>
            <w:r w:rsidRPr="00EA2DCE">
              <w:rPr>
                <w:rFonts w:cs="Times New Roman"/>
                <w:lang w:val="en"/>
              </w:rPr>
              <w:t xml:space="preserve"> $1,522,298 </w:t>
            </w:r>
          </w:p>
          <w:p w:rsidR="007F431B" w:rsidRPr="00EA2DCE" w:rsidRDefault="007F431B" w:rsidP="007F431B">
            <w:pPr>
              <w:rPr>
                <w:rFonts w:cs="Times New Roman"/>
              </w:rPr>
            </w:pPr>
            <w:r w:rsidRPr="00EA2DCE">
              <w:rPr>
                <w:rFonts w:cs="Times New Roman"/>
                <w:lang w:val="en"/>
              </w:rPr>
              <w:t>Penalty suspended with restitution payment of $500,000</w:t>
            </w:r>
          </w:p>
        </w:tc>
      </w:tr>
      <w:tr w:rsidR="009E3BAA" w:rsidRPr="00EA2DCE" w:rsidTr="001B4468">
        <w:trPr>
          <w:cantSplit/>
          <w:trHeight w:val="238"/>
        </w:trPr>
        <w:tc>
          <w:tcPr>
            <w:tcW w:w="1620" w:type="dxa"/>
            <w:shd w:val="clear" w:color="auto" w:fill="auto"/>
          </w:tcPr>
          <w:p w:rsidR="009E3BAA" w:rsidRPr="00EA2DCE" w:rsidRDefault="00DE7A21">
            <w:pPr>
              <w:rPr>
                <w:rFonts w:cs="Times New Roman"/>
              </w:rPr>
            </w:pPr>
            <w:hyperlink r:id="rId28" w:history="1">
              <w:r w:rsidR="009E3BAA" w:rsidRPr="00EA2DCE">
                <w:rPr>
                  <w:rStyle w:val="Hyperlink"/>
                  <w:rFonts w:cs="Times New Roman"/>
                </w:rPr>
                <w:t>Flood</w:t>
              </w:r>
            </w:hyperlink>
          </w:p>
        </w:tc>
        <w:tc>
          <w:tcPr>
            <w:tcW w:w="1890" w:type="dxa"/>
            <w:shd w:val="clear" w:color="auto" w:fill="auto"/>
          </w:tcPr>
          <w:p w:rsidR="009E3BAA" w:rsidRPr="00EA2DCE" w:rsidRDefault="009E3BAA" w:rsidP="009E3BAA">
            <w:pPr>
              <w:rPr>
                <w:rFonts w:cs="Times New Roman"/>
              </w:rPr>
            </w:pPr>
            <w:r w:rsidRPr="00EA2DCE">
              <w:rPr>
                <w:rFonts w:cs="Times New Roman"/>
              </w:rPr>
              <w:t>Southwest Capital Bank</w:t>
            </w:r>
          </w:p>
          <w:p w:rsidR="009E3BAA" w:rsidRPr="00EA2DCE" w:rsidRDefault="009E3BAA" w:rsidP="009E3BAA">
            <w:pPr>
              <w:rPr>
                <w:rFonts w:cs="Times New Roman"/>
              </w:rPr>
            </w:pPr>
            <w:r w:rsidRPr="00EA2DCE">
              <w:rPr>
                <w:rFonts w:cs="Times New Roman"/>
              </w:rPr>
              <w:t>(Albuquerque, NM)</w:t>
            </w:r>
          </w:p>
        </w:tc>
        <w:tc>
          <w:tcPr>
            <w:tcW w:w="4410" w:type="dxa"/>
            <w:shd w:val="clear" w:color="auto" w:fill="auto"/>
          </w:tcPr>
          <w:p w:rsidR="009E3BAA" w:rsidRPr="00EA2DCE" w:rsidRDefault="009E3BAA" w:rsidP="009E3BAA">
            <w:pPr>
              <w:pStyle w:val="ListParagraph"/>
              <w:numPr>
                <w:ilvl w:val="0"/>
                <w:numId w:val="2"/>
              </w:numPr>
              <w:rPr>
                <w:rFonts w:cs="Times New Roman"/>
              </w:rPr>
            </w:pPr>
            <w:r w:rsidRPr="00EA2DCE">
              <w:rPr>
                <w:rFonts w:cs="Times New Roman"/>
              </w:rPr>
              <w:t>Failure to obtain flood insurance at or before loan origination or renewal</w:t>
            </w:r>
            <w:r w:rsidR="007135BF" w:rsidRPr="00EA2DCE">
              <w:rPr>
                <w:rFonts w:cs="Times New Roman"/>
              </w:rPr>
              <w:t xml:space="preserve"> in four instances</w:t>
            </w:r>
            <w:r w:rsidRPr="00EA2DCE">
              <w:rPr>
                <w:rFonts w:cs="Times New Roman"/>
              </w:rPr>
              <w:t xml:space="preserve">; </w:t>
            </w:r>
          </w:p>
          <w:p w:rsidR="009E3BAA" w:rsidRPr="00EA2DCE" w:rsidRDefault="009E3BAA" w:rsidP="009E3BAA">
            <w:pPr>
              <w:pStyle w:val="ListParagraph"/>
              <w:numPr>
                <w:ilvl w:val="0"/>
                <w:numId w:val="2"/>
              </w:numPr>
              <w:rPr>
                <w:rFonts w:cs="Times New Roman"/>
              </w:rPr>
            </w:pPr>
            <w:r w:rsidRPr="00EA2DCE">
              <w:rPr>
                <w:rFonts w:cs="Times New Roman"/>
              </w:rPr>
              <w:t>Failure to maintain flood insurance for the term of the loan</w:t>
            </w:r>
            <w:r w:rsidR="007135BF" w:rsidRPr="00EA2DCE">
              <w:rPr>
                <w:rFonts w:cs="Times New Roman"/>
              </w:rPr>
              <w:t xml:space="preserve"> in two instances</w:t>
            </w:r>
            <w:r w:rsidRPr="00EA2DCE">
              <w:rPr>
                <w:rFonts w:cs="Times New Roman"/>
              </w:rPr>
              <w:t xml:space="preserve">; </w:t>
            </w:r>
          </w:p>
          <w:p w:rsidR="009E3BAA" w:rsidRPr="00EA2DCE" w:rsidRDefault="009E3BAA" w:rsidP="009E3BAA">
            <w:pPr>
              <w:pStyle w:val="ListParagraph"/>
              <w:numPr>
                <w:ilvl w:val="0"/>
                <w:numId w:val="2"/>
              </w:numPr>
              <w:rPr>
                <w:rFonts w:cs="Times New Roman"/>
              </w:rPr>
            </w:pPr>
            <w:r w:rsidRPr="00EA2DCE">
              <w:rPr>
                <w:rFonts w:cs="Times New Roman"/>
              </w:rPr>
              <w:t>Failure to notify the borrower to obtain flood insurance when the Bank determines a designated loan is not covered by flood insurance</w:t>
            </w:r>
            <w:r w:rsidR="007135BF" w:rsidRPr="00EA2DCE">
              <w:rPr>
                <w:rFonts w:cs="Times New Roman"/>
              </w:rPr>
              <w:t xml:space="preserve"> in three instances</w:t>
            </w:r>
            <w:r w:rsidRPr="00EA2DCE">
              <w:rPr>
                <w:rFonts w:cs="Times New Roman"/>
              </w:rPr>
              <w:t xml:space="preserve">; and </w:t>
            </w:r>
          </w:p>
          <w:p w:rsidR="009E3BAA" w:rsidRPr="00EA2DCE" w:rsidRDefault="009E3BAA" w:rsidP="007135BF">
            <w:pPr>
              <w:pStyle w:val="ListParagraph"/>
              <w:numPr>
                <w:ilvl w:val="0"/>
                <w:numId w:val="2"/>
              </w:numPr>
              <w:rPr>
                <w:rFonts w:cs="Times New Roman"/>
              </w:rPr>
            </w:pPr>
            <w:r w:rsidRPr="00EA2DCE">
              <w:rPr>
                <w:rFonts w:cs="Times New Roman"/>
              </w:rPr>
              <w:t>Failure to purchase flood insurance on the borrower's behalf within 45 days after notification</w:t>
            </w:r>
            <w:r w:rsidR="007135BF" w:rsidRPr="00EA2DCE">
              <w:rPr>
                <w:rFonts w:cs="Times New Roman"/>
              </w:rPr>
              <w:t xml:space="preserve"> in three instances</w:t>
            </w:r>
            <w:r w:rsidRPr="00EA2DCE">
              <w:rPr>
                <w:rFonts w:cs="Times New Roman"/>
              </w:rPr>
              <w:t>.</w:t>
            </w:r>
          </w:p>
        </w:tc>
        <w:tc>
          <w:tcPr>
            <w:tcW w:w="1350" w:type="dxa"/>
            <w:shd w:val="clear" w:color="auto" w:fill="auto"/>
          </w:tcPr>
          <w:p w:rsidR="009E3BAA" w:rsidRPr="00EA2DCE" w:rsidRDefault="009E3BAA">
            <w:pPr>
              <w:rPr>
                <w:rFonts w:cs="Times New Roman"/>
              </w:rPr>
            </w:pPr>
            <w:r w:rsidRPr="00EA2DCE">
              <w:rPr>
                <w:rFonts w:cs="Times New Roman"/>
              </w:rPr>
              <w:t>CMP</w:t>
            </w:r>
          </w:p>
        </w:tc>
        <w:tc>
          <w:tcPr>
            <w:tcW w:w="1260" w:type="dxa"/>
            <w:shd w:val="clear" w:color="auto" w:fill="auto"/>
          </w:tcPr>
          <w:p w:rsidR="009E3BAA" w:rsidRPr="00EA2DCE" w:rsidRDefault="009E3BAA">
            <w:pPr>
              <w:rPr>
                <w:rFonts w:cs="Times New Roman"/>
              </w:rPr>
            </w:pPr>
            <w:r w:rsidRPr="00EA2DCE">
              <w:rPr>
                <w:rFonts w:cs="Times New Roman"/>
              </w:rPr>
              <w:t>FDIC</w:t>
            </w:r>
          </w:p>
        </w:tc>
        <w:tc>
          <w:tcPr>
            <w:tcW w:w="1080" w:type="dxa"/>
            <w:shd w:val="clear" w:color="auto" w:fill="auto"/>
          </w:tcPr>
          <w:p w:rsidR="009E3BAA" w:rsidRPr="00EA2DCE" w:rsidRDefault="009E3BAA">
            <w:pPr>
              <w:rPr>
                <w:rFonts w:cs="Times New Roman"/>
              </w:rPr>
            </w:pPr>
            <w:r w:rsidRPr="00EA2DCE">
              <w:rPr>
                <w:rFonts w:cs="Times New Roman"/>
              </w:rPr>
              <w:t>7/16/18</w:t>
            </w:r>
          </w:p>
        </w:tc>
        <w:tc>
          <w:tcPr>
            <w:tcW w:w="2880" w:type="dxa"/>
            <w:shd w:val="clear" w:color="auto" w:fill="auto"/>
          </w:tcPr>
          <w:p w:rsidR="009E3BAA" w:rsidRPr="00EA2DCE" w:rsidRDefault="009E3BAA">
            <w:pPr>
              <w:rPr>
                <w:rFonts w:cs="Times New Roman"/>
              </w:rPr>
            </w:pPr>
            <w:r w:rsidRPr="00EA2DCE">
              <w:rPr>
                <w:rFonts w:cs="Times New Roman"/>
              </w:rPr>
              <w:t>CMP: $10,800</w:t>
            </w:r>
          </w:p>
        </w:tc>
      </w:tr>
      <w:tr w:rsidR="007F431B" w:rsidRPr="00EA2DCE" w:rsidTr="001B4468">
        <w:trPr>
          <w:trHeight w:val="238"/>
        </w:trPr>
        <w:tc>
          <w:tcPr>
            <w:tcW w:w="1620" w:type="dxa"/>
            <w:shd w:val="clear" w:color="auto" w:fill="auto"/>
          </w:tcPr>
          <w:p w:rsidR="007F431B" w:rsidRPr="00EA2DCE" w:rsidRDefault="00DE7A21">
            <w:pPr>
              <w:rPr>
                <w:rFonts w:cs="Times New Roman"/>
              </w:rPr>
            </w:pPr>
            <w:hyperlink r:id="rId29" w:history="1">
              <w:r w:rsidR="007F431B" w:rsidRPr="00EA2DCE">
                <w:rPr>
                  <w:rStyle w:val="Hyperlink"/>
                  <w:rFonts w:cs="Times New Roman"/>
                </w:rPr>
                <w:t>TILA</w:t>
              </w:r>
            </w:hyperlink>
          </w:p>
        </w:tc>
        <w:tc>
          <w:tcPr>
            <w:tcW w:w="1890" w:type="dxa"/>
            <w:shd w:val="clear" w:color="auto" w:fill="auto"/>
          </w:tcPr>
          <w:p w:rsidR="007F431B" w:rsidRPr="00EA2DCE" w:rsidRDefault="007F431B" w:rsidP="009E3BAA">
            <w:pPr>
              <w:rPr>
                <w:rFonts w:cs="Times New Roman"/>
              </w:rPr>
            </w:pPr>
            <w:r w:rsidRPr="00EA2DCE">
              <w:rPr>
                <w:rFonts w:cs="Times New Roman"/>
              </w:rPr>
              <w:t>Citibank</w:t>
            </w:r>
          </w:p>
          <w:p w:rsidR="007F431B" w:rsidRPr="00EA2DCE" w:rsidRDefault="007F431B" w:rsidP="009E3BAA">
            <w:pPr>
              <w:rPr>
                <w:rFonts w:cs="Times New Roman"/>
              </w:rPr>
            </w:pPr>
            <w:r w:rsidRPr="00EA2DCE">
              <w:rPr>
                <w:rFonts w:cs="Times New Roman"/>
              </w:rPr>
              <w:t>(Sioux Falls, SD)</w:t>
            </w:r>
          </w:p>
        </w:tc>
        <w:tc>
          <w:tcPr>
            <w:tcW w:w="4410" w:type="dxa"/>
            <w:shd w:val="clear" w:color="auto" w:fill="auto"/>
          </w:tcPr>
          <w:p w:rsidR="007F431B" w:rsidRPr="00EA2DCE" w:rsidRDefault="007F431B" w:rsidP="009E3BAA">
            <w:pPr>
              <w:pStyle w:val="ListParagraph"/>
              <w:numPr>
                <w:ilvl w:val="0"/>
                <w:numId w:val="2"/>
              </w:numPr>
              <w:rPr>
                <w:rFonts w:cs="Times New Roman"/>
              </w:rPr>
            </w:pPr>
            <w:r w:rsidRPr="00EA2DCE">
              <w:rPr>
                <w:rFonts w:cs="Times New Roman"/>
                <w:lang w:val="en"/>
              </w:rPr>
              <w:t>Violated the Truth in Lending Act by failing to reevaluate and reduce the annual percentage rates (APRs) for approximately 1.75 million consumer credit card accounts consistent with regulatory requirements, and by failing to have reasonable written policies and procedures to conduct the APR reevaluations consistent with regulation.</w:t>
            </w:r>
          </w:p>
        </w:tc>
        <w:tc>
          <w:tcPr>
            <w:tcW w:w="1350" w:type="dxa"/>
            <w:shd w:val="clear" w:color="auto" w:fill="auto"/>
          </w:tcPr>
          <w:p w:rsidR="007F431B" w:rsidRPr="00EA2DCE" w:rsidRDefault="007F431B">
            <w:pPr>
              <w:rPr>
                <w:rFonts w:cs="Times New Roman"/>
              </w:rPr>
            </w:pPr>
            <w:r w:rsidRPr="00EA2DCE">
              <w:rPr>
                <w:rFonts w:cs="Times New Roman"/>
              </w:rPr>
              <w:t>Consent Order</w:t>
            </w:r>
          </w:p>
        </w:tc>
        <w:tc>
          <w:tcPr>
            <w:tcW w:w="1260" w:type="dxa"/>
            <w:shd w:val="clear" w:color="auto" w:fill="auto"/>
          </w:tcPr>
          <w:p w:rsidR="007F431B" w:rsidRPr="00EA2DCE" w:rsidRDefault="00CD7F5C">
            <w:pPr>
              <w:rPr>
                <w:rFonts w:cs="Times New Roman"/>
              </w:rPr>
            </w:pPr>
            <w:r w:rsidRPr="00EA2DCE">
              <w:rPr>
                <w:rFonts w:cs="Times New Roman"/>
              </w:rPr>
              <w:t>CFPB</w:t>
            </w:r>
          </w:p>
        </w:tc>
        <w:tc>
          <w:tcPr>
            <w:tcW w:w="1080" w:type="dxa"/>
            <w:shd w:val="clear" w:color="auto" w:fill="auto"/>
          </w:tcPr>
          <w:p w:rsidR="007F431B" w:rsidRPr="00EA2DCE" w:rsidRDefault="007F431B">
            <w:pPr>
              <w:rPr>
                <w:rFonts w:cs="Times New Roman"/>
              </w:rPr>
            </w:pPr>
            <w:r w:rsidRPr="00EA2DCE">
              <w:rPr>
                <w:rFonts w:cs="Times New Roman"/>
              </w:rPr>
              <w:t>6/29/18</w:t>
            </w:r>
          </w:p>
        </w:tc>
        <w:tc>
          <w:tcPr>
            <w:tcW w:w="2880" w:type="dxa"/>
            <w:shd w:val="clear" w:color="auto" w:fill="auto"/>
          </w:tcPr>
          <w:p w:rsidR="007F431B" w:rsidRPr="00EA2DCE" w:rsidRDefault="007F431B">
            <w:pPr>
              <w:rPr>
                <w:rFonts w:cs="Times New Roman"/>
              </w:rPr>
            </w:pPr>
            <w:r w:rsidRPr="00EA2DCE">
              <w:rPr>
                <w:rFonts w:cs="Times New Roman"/>
              </w:rPr>
              <w:t>Restitution: $335 million</w:t>
            </w:r>
          </w:p>
          <w:p w:rsidR="007F431B" w:rsidRPr="00EA2DCE" w:rsidRDefault="007F431B">
            <w:pPr>
              <w:rPr>
                <w:rFonts w:cs="Times New Roman"/>
              </w:rPr>
            </w:pPr>
            <w:r w:rsidRPr="00EA2DCE">
              <w:rPr>
                <w:rFonts w:cs="Times New Roman"/>
              </w:rPr>
              <w:t>(</w:t>
            </w:r>
            <w:proofErr w:type="gramStart"/>
            <w:r w:rsidRPr="00EA2DCE">
              <w:rPr>
                <w:rFonts w:cs="Times New Roman"/>
              </w:rPr>
              <w:t>no</w:t>
            </w:r>
            <w:proofErr w:type="gramEnd"/>
            <w:r w:rsidRPr="00EA2DCE">
              <w:rPr>
                <w:rFonts w:cs="Times New Roman"/>
              </w:rPr>
              <w:t xml:space="preserve"> CMP assessed due to self- identification and reporting of the violation and self-initiated remediation.) </w:t>
            </w:r>
          </w:p>
        </w:tc>
      </w:tr>
      <w:tr w:rsidR="00AF667B" w:rsidRPr="00EA2DCE" w:rsidTr="001B4468">
        <w:trPr>
          <w:cantSplit/>
          <w:trHeight w:val="238"/>
        </w:trPr>
        <w:tc>
          <w:tcPr>
            <w:tcW w:w="1620" w:type="dxa"/>
            <w:shd w:val="clear" w:color="auto" w:fill="auto"/>
          </w:tcPr>
          <w:p w:rsidR="006D6916" w:rsidRPr="00EA2DCE" w:rsidRDefault="00DE7A21">
            <w:pPr>
              <w:rPr>
                <w:rFonts w:cs="Times New Roman"/>
              </w:rPr>
            </w:pPr>
            <w:hyperlink r:id="rId30" w:history="1">
              <w:r w:rsidR="00124730" w:rsidRPr="00EA2DCE">
                <w:rPr>
                  <w:rStyle w:val="Hyperlink"/>
                  <w:rFonts w:cs="Times New Roman"/>
                </w:rPr>
                <w:t>Flood</w:t>
              </w:r>
            </w:hyperlink>
          </w:p>
        </w:tc>
        <w:tc>
          <w:tcPr>
            <w:tcW w:w="1890" w:type="dxa"/>
            <w:shd w:val="clear" w:color="auto" w:fill="auto"/>
          </w:tcPr>
          <w:p w:rsidR="006D6916" w:rsidRPr="00EA2DCE" w:rsidRDefault="00124730">
            <w:pPr>
              <w:rPr>
                <w:rFonts w:cs="Times New Roman"/>
              </w:rPr>
            </w:pPr>
            <w:r w:rsidRPr="00EA2DCE">
              <w:rPr>
                <w:rFonts w:cs="Times New Roman"/>
              </w:rPr>
              <w:t>The Bank of Holly Springs</w:t>
            </w:r>
          </w:p>
          <w:p w:rsidR="00124730" w:rsidRPr="00EA2DCE" w:rsidRDefault="00124730">
            <w:pPr>
              <w:rPr>
                <w:rFonts w:cs="Times New Roman"/>
              </w:rPr>
            </w:pPr>
            <w:r w:rsidRPr="00EA2DCE">
              <w:rPr>
                <w:rFonts w:cs="Times New Roman"/>
              </w:rPr>
              <w:t>(Holly Springs, MS)</w:t>
            </w:r>
          </w:p>
        </w:tc>
        <w:tc>
          <w:tcPr>
            <w:tcW w:w="4410" w:type="dxa"/>
            <w:shd w:val="clear" w:color="auto" w:fill="auto"/>
          </w:tcPr>
          <w:p w:rsidR="006D6916" w:rsidRPr="00EA2DCE" w:rsidRDefault="009E3BAA" w:rsidP="00724EA0">
            <w:pPr>
              <w:pStyle w:val="ListParagraph"/>
              <w:numPr>
                <w:ilvl w:val="0"/>
                <w:numId w:val="6"/>
              </w:numPr>
              <w:rPr>
                <w:rFonts w:cs="Times New Roman"/>
              </w:rPr>
            </w:pPr>
            <w:r w:rsidRPr="00EA2DCE">
              <w:rPr>
                <w:rFonts w:cs="Times New Roman"/>
              </w:rPr>
              <w:t>Bank engaged in a pattern or practice of committing violations of section 102(b )(1) of the FDPA, 42 U.S.C. § 4012a(b)(l), and section 339.3(a) of the FDIC Rules and Regulations, 12 C.F.R. § 339.3(a) by failing to obtain flood insurance coverage at or before loan origination or renewal on seven (7) loans secured by a building or mobile home that is located or to be located in a special flood hazard area,</w:t>
            </w:r>
          </w:p>
        </w:tc>
        <w:tc>
          <w:tcPr>
            <w:tcW w:w="1350" w:type="dxa"/>
            <w:shd w:val="clear" w:color="auto" w:fill="auto"/>
          </w:tcPr>
          <w:p w:rsidR="006D6916" w:rsidRPr="00EA2DCE" w:rsidRDefault="009E3BAA">
            <w:pPr>
              <w:rPr>
                <w:rFonts w:cs="Times New Roman"/>
              </w:rPr>
            </w:pPr>
            <w:r w:rsidRPr="00EA2DCE">
              <w:rPr>
                <w:rFonts w:cs="Times New Roman"/>
              </w:rPr>
              <w:t>CMP</w:t>
            </w:r>
          </w:p>
        </w:tc>
        <w:tc>
          <w:tcPr>
            <w:tcW w:w="1260" w:type="dxa"/>
            <w:shd w:val="clear" w:color="auto" w:fill="auto"/>
          </w:tcPr>
          <w:p w:rsidR="006D6916" w:rsidRPr="00EA2DCE" w:rsidRDefault="009E3BAA">
            <w:pPr>
              <w:rPr>
                <w:rFonts w:cs="Times New Roman"/>
              </w:rPr>
            </w:pPr>
            <w:r w:rsidRPr="00EA2DCE">
              <w:rPr>
                <w:rFonts w:cs="Times New Roman"/>
              </w:rPr>
              <w:t>FDIC</w:t>
            </w:r>
          </w:p>
        </w:tc>
        <w:tc>
          <w:tcPr>
            <w:tcW w:w="1080" w:type="dxa"/>
            <w:shd w:val="clear" w:color="auto" w:fill="auto"/>
          </w:tcPr>
          <w:p w:rsidR="006D6916" w:rsidRPr="00EA2DCE" w:rsidRDefault="009E3BAA">
            <w:pPr>
              <w:rPr>
                <w:rFonts w:cs="Times New Roman"/>
              </w:rPr>
            </w:pPr>
            <w:r w:rsidRPr="00EA2DCE">
              <w:rPr>
                <w:rFonts w:cs="Times New Roman"/>
              </w:rPr>
              <w:t>6/16/18</w:t>
            </w:r>
          </w:p>
        </w:tc>
        <w:tc>
          <w:tcPr>
            <w:tcW w:w="2880" w:type="dxa"/>
            <w:shd w:val="clear" w:color="auto" w:fill="auto"/>
          </w:tcPr>
          <w:p w:rsidR="00CD3FD6" w:rsidRPr="00EA2DCE" w:rsidRDefault="009E3BAA" w:rsidP="009E3BAA">
            <w:pPr>
              <w:rPr>
                <w:rFonts w:cs="Times New Roman"/>
              </w:rPr>
            </w:pPr>
            <w:r w:rsidRPr="00EA2DCE">
              <w:rPr>
                <w:rFonts w:cs="Times New Roman"/>
              </w:rPr>
              <w:t>CMP: $7,000</w:t>
            </w:r>
          </w:p>
        </w:tc>
      </w:tr>
      <w:tr w:rsidR="00B81F61" w:rsidRPr="00EA2DCE" w:rsidTr="001B4468">
        <w:trPr>
          <w:cantSplit/>
          <w:trHeight w:val="238"/>
        </w:trPr>
        <w:tc>
          <w:tcPr>
            <w:tcW w:w="1620" w:type="dxa"/>
            <w:shd w:val="clear" w:color="auto" w:fill="auto"/>
          </w:tcPr>
          <w:p w:rsidR="00B81F61" w:rsidRPr="00EA2DCE" w:rsidRDefault="00DE7A21">
            <w:pPr>
              <w:rPr>
                <w:rFonts w:cs="Times New Roman"/>
              </w:rPr>
            </w:pPr>
            <w:hyperlink r:id="rId31" w:history="1">
              <w:r w:rsidR="00B81F61" w:rsidRPr="00EA2DCE">
                <w:rPr>
                  <w:rStyle w:val="Hyperlink"/>
                  <w:rFonts w:cs="Times New Roman"/>
                </w:rPr>
                <w:t>UDAAP and FCRA</w:t>
              </w:r>
            </w:hyperlink>
          </w:p>
        </w:tc>
        <w:tc>
          <w:tcPr>
            <w:tcW w:w="1890" w:type="dxa"/>
            <w:shd w:val="clear" w:color="auto" w:fill="auto"/>
          </w:tcPr>
          <w:p w:rsidR="00B81F61" w:rsidRPr="00EA2DCE" w:rsidRDefault="00B81F61">
            <w:pPr>
              <w:rPr>
                <w:rFonts w:cs="Times New Roman"/>
              </w:rPr>
            </w:pPr>
            <w:r w:rsidRPr="00EA2DCE">
              <w:rPr>
                <w:rFonts w:cs="Times New Roman"/>
              </w:rPr>
              <w:t>Security Group, Inc.</w:t>
            </w:r>
          </w:p>
          <w:p w:rsidR="00B81F61" w:rsidRPr="00EA2DCE" w:rsidRDefault="00B81F61">
            <w:pPr>
              <w:rPr>
                <w:rFonts w:cs="Times New Roman"/>
              </w:rPr>
            </w:pPr>
            <w:r w:rsidRPr="00EA2DCE">
              <w:rPr>
                <w:rFonts w:cs="Times New Roman"/>
              </w:rPr>
              <w:t>(Spartanburg, SC)</w:t>
            </w:r>
          </w:p>
        </w:tc>
        <w:tc>
          <w:tcPr>
            <w:tcW w:w="4410" w:type="dxa"/>
            <w:shd w:val="clear" w:color="auto" w:fill="auto"/>
          </w:tcPr>
          <w:p w:rsidR="00B81F61" w:rsidRPr="00EA2DCE" w:rsidRDefault="00B81F61" w:rsidP="00724EA0">
            <w:pPr>
              <w:pStyle w:val="ListParagraph"/>
              <w:numPr>
                <w:ilvl w:val="0"/>
                <w:numId w:val="6"/>
              </w:numPr>
              <w:rPr>
                <w:rFonts w:cs="Times New Roman"/>
              </w:rPr>
            </w:pPr>
            <w:r w:rsidRPr="00EA2DCE">
              <w:rPr>
                <w:rFonts w:cs="Times New Roman"/>
                <w:lang w:val="en"/>
              </w:rPr>
              <w:t>Violated the Consumer Financial Protection Act by making improper in-person and telephonic collection attempts on consumer installment loans and retail sales installment contracts.</w:t>
            </w:r>
          </w:p>
          <w:p w:rsidR="00B81F61" w:rsidRPr="00EA2DCE" w:rsidRDefault="00B81F61" w:rsidP="00724EA0">
            <w:pPr>
              <w:pStyle w:val="ListParagraph"/>
              <w:numPr>
                <w:ilvl w:val="0"/>
                <w:numId w:val="6"/>
              </w:numPr>
              <w:rPr>
                <w:rFonts w:cs="Times New Roman"/>
              </w:rPr>
            </w:pPr>
            <w:r w:rsidRPr="00EA2DCE">
              <w:rPr>
                <w:rFonts w:cs="Times New Roman"/>
                <w:lang w:val="en"/>
              </w:rPr>
              <w:t>Violated the Fair Credit Reporting Act by regularly furnishing inaccurate and incomplete information about consumers to credit reporting agencies.</w:t>
            </w:r>
          </w:p>
        </w:tc>
        <w:tc>
          <w:tcPr>
            <w:tcW w:w="1350" w:type="dxa"/>
            <w:shd w:val="clear" w:color="auto" w:fill="auto"/>
          </w:tcPr>
          <w:p w:rsidR="00B81F61" w:rsidRPr="00EA2DCE" w:rsidRDefault="00B81F61">
            <w:pPr>
              <w:rPr>
                <w:rFonts w:cs="Times New Roman"/>
              </w:rPr>
            </w:pPr>
            <w:r w:rsidRPr="00EA2DCE">
              <w:rPr>
                <w:rFonts w:cs="Times New Roman"/>
              </w:rPr>
              <w:t>CMP</w:t>
            </w:r>
          </w:p>
        </w:tc>
        <w:tc>
          <w:tcPr>
            <w:tcW w:w="1260" w:type="dxa"/>
            <w:shd w:val="clear" w:color="auto" w:fill="auto"/>
          </w:tcPr>
          <w:p w:rsidR="00B81F61" w:rsidRPr="00EA2DCE" w:rsidRDefault="00B81F61">
            <w:pPr>
              <w:rPr>
                <w:rFonts w:cs="Times New Roman"/>
              </w:rPr>
            </w:pPr>
            <w:r w:rsidRPr="00EA2DCE">
              <w:rPr>
                <w:rFonts w:cs="Times New Roman"/>
              </w:rPr>
              <w:t>CFPB</w:t>
            </w:r>
          </w:p>
        </w:tc>
        <w:tc>
          <w:tcPr>
            <w:tcW w:w="1080" w:type="dxa"/>
            <w:shd w:val="clear" w:color="auto" w:fill="auto"/>
          </w:tcPr>
          <w:p w:rsidR="00B81F61" w:rsidRPr="00EA2DCE" w:rsidRDefault="00B81F61">
            <w:pPr>
              <w:rPr>
                <w:rFonts w:cs="Times New Roman"/>
              </w:rPr>
            </w:pPr>
            <w:r w:rsidRPr="00EA2DCE">
              <w:rPr>
                <w:rFonts w:cs="Times New Roman"/>
              </w:rPr>
              <w:t>6/13/18</w:t>
            </w:r>
          </w:p>
        </w:tc>
        <w:tc>
          <w:tcPr>
            <w:tcW w:w="2880" w:type="dxa"/>
            <w:shd w:val="clear" w:color="auto" w:fill="auto"/>
          </w:tcPr>
          <w:p w:rsidR="00B81F61" w:rsidRPr="00EA2DCE" w:rsidRDefault="00B81F61" w:rsidP="009E3BAA">
            <w:pPr>
              <w:rPr>
                <w:rFonts w:cs="Times New Roman"/>
              </w:rPr>
            </w:pPr>
            <w:r w:rsidRPr="00EA2DCE">
              <w:rPr>
                <w:rFonts w:cs="Times New Roman"/>
              </w:rPr>
              <w:t>CMP: $5 million</w:t>
            </w:r>
          </w:p>
        </w:tc>
      </w:tr>
      <w:tr w:rsidR="007135BF" w:rsidRPr="00EA2DCE" w:rsidTr="001B4468">
        <w:trPr>
          <w:cantSplit/>
          <w:trHeight w:val="238"/>
        </w:trPr>
        <w:tc>
          <w:tcPr>
            <w:tcW w:w="1620" w:type="dxa"/>
            <w:shd w:val="clear" w:color="auto" w:fill="auto"/>
          </w:tcPr>
          <w:p w:rsidR="007135BF" w:rsidRPr="00EA2DCE" w:rsidRDefault="00DE7A21">
            <w:pPr>
              <w:rPr>
                <w:rFonts w:cs="Times New Roman"/>
              </w:rPr>
            </w:pPr>
            <w:hyperlink r:id="rId32" w:history="1">
              <w:r w:rsidR="009B72F1" w:rsidRPr="00EA2DCE">
                <w:rPr>
                  <w:rStyle w:val="Hyperlink"/>
                  <w:rFonts w:cs="Times New Roman"/>
                </w:rPr>
                <w:t>Regulation O Violation by Insider</w:t>
              </w:r>
            </w:hyperlink>
          </w:p>
        </w:tc>
        <w:tc>
          <w:tcPr>
            <w:tcW w:w="1890" w:type="dxa"/>
            <w:shd w:val="clear" w:color="auto" w:fill="auto"/>
          </w:tcPr>
          <w:p w:rsidR="007135BF" w:rsidRPr="00EA2DCE" w:rsidRDefault="007135BF">
            <w:pPr>
              <w:rPr>
                <w:rFonts w:cs="Times New Roman"/>
              </w:rPr>
            </w:pPr>
            <w:r w:rsidRPr="00EA2DCE">
              <w:rPr>
                <w:rFonts w:cs="Times New Roman"/>
              </w:rPr>
              <w:t>Valley Bank</w:t>
            </w:r>
          </w:p>
          <w:p w:rsidR="007135BF" w:rsidRPr="00EA2DCE" w:rsidRDefault="007135BF">
            <w:pPr>
              <w:rPr>
                <w:rFonts w:cs="Times New Roman"/>
              </w:rPr>
            </w:pPr>
            <w:r w:rsidRPr="00EA2DCE">
              <w:rPr>
                <w:rFonts w:cs="Times New Roman"/>
              </w:rPr>
              <w:t>(Moline, IL)</w:t>
            </w:r>
          </w:p>
          <w:p w:rsidR="009B72F1" w:rsidRPr="00EA2DCE" w:rsidRDefault="009B72F1">
            <w:pPr>
              <w:rPr>
                <w:rFonts w:cs="Times New Roman"/>
              </w:rPr>
            </w:pPr>
          </w:p>
          <w:p w:rsidR="007135BF" w:rsidRPr="00EA2DCE" w:rsidRDefault="009B72F1" w:rsidP="009B72F1">
            <w:pPr>
              <w:rPr>
                <w:rFonts w:cs="Times New Roman"/>
              </w:rPr>
            </w:pPr>
            <w:r w:rsidRPr="00EA2DCE">
              <w:rPr>
                <w:rFonts w:cs="Times New Roman"/>
              </w:rPr>
              <w:t>Robert Fick (Director)</w:t>
            </w:r>
          </w:p>
        </w:tc>
        <w:tc>
          <w:tcPr>
            <w:tcW w:w="4410" w:type="dxa"/>
            <w:shd w:val="clear" w:color="auto" w:fill="auto"/>
          </w:tcPr>
          <w:p w:rsidR="009B72F1" w:rsidRPr="00EA2DCE" w:rsidRDefault="009B72F1" w:rsidP="009B72F1">
            <w:pPr>
              <w:pStyle w:val="ListParagraph"/>
              <w:numPr>
                <w:ilvl w:val="0"/>
                <w:numId w:val="6"/>
              </w:numPr>
              <w:rPr>
                <w:rFonts w:cs="Times New Roman"/>
              </w:rPr>
            </w:pPr>
            <w:r w:rsidRPr="00EA2DCE">
              <w:rPr>
                <w:rFonts w:cs="Times New Roman"/>
              </w:rPr>
              <w:t xml:space="preserve">Fick violated Regulation O of the Board of Governors of the Federal Reserve ("Regulation O"), 12 C.F.R. Part 215, concerning certain loans from the Bank to Respondent and his related interests. </w:t>
            </w:r>
          </w:p>
          <w:p w:rsidR="007135BF" w:rsidRPr="00EA2DCE" w:rsidRDefault="009B72F1" w:rsidP="009B72F1">
            <w:pPr>
              <w:pStyle w:val="ListParagraph"/>
              <w:numPr>
                <w:ilvl w:val="0"/>
                <w:numId w:val="6"/>
              </w:numPr>
              <w:rPr>
                <w:rFonts w:cs="Times New Roman"/>
              </w:rPr>
            </w:pPr>
            <w:r w:rsidRPr="00EA2DCE">
              <w:rPr>
                <w:rFonts w:cs="Times New Roman"/>
              </w:rPr>
              <w:t>Fick violated or caused the Bank to violate 12 C.F.R. § 363.</w:t>
            </w:r>
          </w:p>
        </w:tc>
        <w:tc>
          <w:tcPr>
            <w:tcW w:w="1350" w:type="dxa"/>
            <w:shd w:val="clear" w:color="auto" w:fill="auto"/>
          </w:tcPr>
          <w:p w:rsidR="007135BF" w:rsidRPr="00EA2DCE" w:rsidRDefault="009B72F1">
            <w:pPr>
              <w:rPr>
                <w:rFonts w:cs="Times New Roman"/>
              </w:rPr>
            </w:pPr>
            <w:r w:rsidRPr="00EA2DCE">
              <w:rPr>
                <w:rFonts w:cs="Times New Roman"/>
              </w:rPr>
              <w:t>CMP</w:t>
            </w:r>
          </w:p>
        </w:tc>
        <w:tc>
          <w:tcPr>
            <w:tcW w:w="1260" w:type="dxa"/>
            <w:shd w:val="clear" w:color="auto" w:fill="auto"/>
          </w:tcPr>
          <w:p w:rsidR="007135BF" w:rsidRPr="00EA2DCE" w:rsidRDefault="009B72F1">
            <w:pPr>
              <w:rPr>
                <w:rFonts w:cs="Times New Roman"/>
              </w:rPr>
            </w:pPr>
            <w:r w:rsidRPr="00EA2DCE">
              <w:rPr>
                <w:rFonts w:cs="Times New Roman"/>
              </w:rPr>
              <w:t>FDIC</w:t>
            </w:r>
          </w:p>
        </w:tc>
        <w:tc>
          <w:tcPr>
            <w:tcW w:w="1080" w:type="dxa"/>
            <w:shd w:val="clear" w:color="auto" w:fill="auto"/>
          </w:tcPr>
          <w:p w:rsidR="007135BF" w:rsidRPr="00EA2DCE" w:rsidRDefault="009B72F1">
            <w:pPr>
              <w:rPr>
                <w:rFonts w:cs="Times New Roman"/>
              </w:rPr>
            </w:pPr>
            <w:r w:rsidRPr="00EA2DCE">
              <w:rPr>
                <w:rFonts w:cs="Times New Roman"/>
              </w:rPr>
              <w:t>5/18/18</w:t>
            </w:r>
          </w:p>
        </w:tc>
        <w:tc>
          <w:tcPr>
            <w:tcW w:w="2880" w:type="dxa"/>
            <w:shd w:val="clear" w:color="auto" w:fill="auto"/>
          </w:tcPr>
          <w:p w:rsidR="007135BF" w:rsidRPr="00EA2DCE" w:rsidRDefault="009B72F1" w:rsidP="009E3BAA">
            <w:pPr>
              <w:rPr>
                <w:rFonts w:cs="Times New Roman"/>
              </w:rPr>
            </w:pPr>
            <w:r w:rsidRPr="00EA2DCE">
              <w:rPr>
                <w:rFonts w:cs="Times New Roman"/>
              </w:rPr>
              <w:t xml:space="preserve">CMP assessed against Robert Fick: $15,000 </w:t>
            </w:r>
          </w:p>
        </w:tc>
      </w:tr>
      <w:tr w:rsidR="00B81F61" w:rsidRPr="00EA2DCE" w:rsidTr="001B4468">
        <w:trPr>
          <w:cantSplit/>
          <w:trHeight w:val="238"/>
        </w:trPr>
        <w:tc>
          <w:tcPr>
            <w:tcW w:w="1620" w:type="dxa"/>
            <w:shd w:val="clear" w:color="auto" w:fill="auto"/>
          </w:tcPr>
          <w:p w:rsidR="00B81F61" w:rsidRPr="00EA2DCE" w:rsidRDefault="00DE7A21">
            <w:pPr>
              <w:rPr>
                <w:rFonts w:cs="Times New Roman"/>
              </w:rPr>
            </w:pPr>
            <w:hyperlink r:id="rId33" w:history="1">
              <w:r w:rsidR="00B81F61" w:rsidRPr="00EA2DCE">
                <w:rPr>
                  <w:rStyle w:val="Hyperlink"/>
                  <w:rFonts w:cs="Times New Roman"/>
                </w:rPr>
                <w:t>Fair Lending</w:t>
              </w:r>
            </w:hyperlink>
          </w:p>
        </w:tc>
        <w:tc>
          <w:tcPr>
            <w:tcW w:w="1890" w:type="dxa"/>
            <w:shd w:val="clear" w:color="auto" w:fill="auto"/>
          </w:tcPr>
          <w:p w:rsidR="00B81F61" w:rsidRPr="00EA2DCE" w:rsidRDefault="00B81F61">
            <w:pPr>
              <w:rPr>
                <w:rFonts w:cs="Times New Roman"/>
              </w:rPr>
            </w:pPr>
            <w:proofErr w:type="spellStart"/>
            <w:r w:rsidRPr="00EA2DCE">
              <w:rPr>
                <w:rFonts w:cs="Times New Roman"/>
              </w:rPr>
              <w:t>Kleinbank</w:t>
            </w:r>
            <w:proofErr w:type="spellEnd"/>
          </w:p>
          <w:p w:rsidR="00D10044" w:rsidRPr="00EA2DCE" w:rsidRDefault="00D10044">
            <w:pPr>
              <w:rPr>
                <w:rFonts w:cs="Times New Roman"/>
              </w:rPr>
            </w:pPr>
            <w:r w:rsidRPr="00EA2DCE">
              <w:rPr>
                <w:rFonts w:cs="Times New Roman"/>
              </w:rPr>
              <w:t>(Minneapolis, MN)</w:t>
            </w:r>
          </w:p>
        </w:tc>
        <w:tc>
          <w:tcPr>
            <w:tcW w:w="4410" w:type="dxa"/>
            <w:shd w:val="clear" w:color="auto" w:fill="auto"/>
          </w:tcPr>
          <w:p w:rsidR="00B81F61" w:rsidRPr="00EA2DCE" w:rsidRDefault="00B81F61" w:rsidP="00B81F61">
            <w:pPr>
              <w:pStyle w:val="ListParagraph"/>
              <w:numPr>
                <w:ilvl w:val="0"/>
                <w:numId w:val="6"/>
              </w:numPr>
              <w:rPr>
                <w:rFonts w:cs="Times New Roman"/>
              </w:rPr>
            </w:pPr>
            <w:r w:rsidRPr="00EA2DCE">
              <w:rPr>
                <w:rFonts w:cs="Times New Roman"/>
              </w:rPr>
              <w:t>Bank engaged in lending discrimination by “redlining” predominantly minority neighborhoods in and around the Twin Cities of Minneapolis-St. Paul, Minnesota.</w:t>
            </w:r>
          </w:p>
        </w:tc>
        <w:tc>
          <w:tcPr>
            <w:tcW w:w="1350" w:type="dxa"/>
            <w:shd w:val="clear" w:color="auto" w:fill="auto"/>
          </w:tcPr>
          <w:p w:rsidR="00B81F61" w:rsidRPr="00EA2DCE" w:rsidRDefault="00B81F61">
            <w:pPr>
              <w:rPr>
                <w:rFonts w:cs="Times New Roman"/>
              </w:rPr>
            </w:pPr>
            <w:r w:rsidRPr="00EA2DCE">
              <w:rPr>
                <w:rFonts w:cs="Times New Roman"/>
              </w:rPr>
              <w:t>Settlement</w:t>
            </w:r>
          </w:p>
        </w:tc>
        <w:tc>
          <w:tcPr>
            <w:tcW w:w="1260" w:type="dxa"/>
            <w:shd w:val="clear" w:color="auto" w:fill="auto"/>
          </w:tcPr>
          <w:p w:rsidR="00B81F61" w:rsidRPr="00EA2DCE" w:rsidRDefault="00B81F61">
            <w:pPr>
              <w:rPr>
                <w:rFonts w:cs="Times New Roman"/>
              </w:rPr>
            </w:pPr>
            <w:r w:rsidRPr="00EA2DCE">
              <w:rPr>
                <w:rFonts w:cs="Times New Roman"/>
              </w:rPr>
              <w:t>DOJ</w:t>
            </w:r>
          </w:p>
        </w:tc>
        <w:tc>
          <w:tcPr>
            <w:tcW w:w="1080" w:type="dxa"/>
            <w:shd w:val="clear" w:color="auto" w:fill="auto"/>
          </w:tcPr>
          <w:p w:rsidR="00B81F61" w:rsidRPr="00EA2DCE" w:rsidRDefault="00B81F61">
            <w:pPr>
              <w:rPr>
                <w:rFonts w:cs="Times New Roman"/>
              </w:rPr>
            </w:pPr>
            <w:r w:rsidRPr="00EA2DCE">
              <w:rPr>
                <w:rFonts w:cs="Times New Roman"/>
              </w:rPr>
              <w:t>5/8/18</w:t>
            </w:r>
          </w:p>
        </w:tc>
        <w:tc>
          <w:tcPr>
            <w:tcW w:w="2880" w:type="dxa"/>
            <w:shd w:val="clear" w:color="auto" w:fill="auto"/>
          </w:tcPr>
          <w:p w:rsidR="00B81F61" w:rsidRPr="00EA2DCE" w:rsidRDefault="00B81F61" w:rsidP="00B81F61">
            <w:pPr>
              <w:pStyle w:val="ListParagraph"/>
              <w:numPr>
                <w:ilvl w:val="0"/>
                <w:numId w:val="6"/>
              </w:numPr>
              <w:rPr>
                <w:rFonts w:cs="Times New Roman"/>
              </w:rPr>
            </w:pPr>
            <w:r w:rsidRPr="00EA2DCE">
              <w:rPr>
                <w:rFonts w:cs="Times New Roman"/>
              </w:rPr>
              <w:t xml:space="preserve">Invest $300,000 in a loan subsidy fund to increase the amount of credit that </w:t>
            </w:r>
            <w:proofErr w:type="spellStart"/>
            <w:r w:rsidRPr="00EA2DCE">
              <w:rPr>
                <w:rFonts w:cs="Times New Roman"/>
              </w:rPr>
              <w:t>KleinBank</w:t>
            </w:r>
            <w:proofErr w:type="spellEnd"/>
            <w:r w:rsidRPr="00EA2DCE">
              <w:rPr>
                <w:rFonts w:cs="Times New Roman"/>
              </w:rPr>
              <w:t xml:space="preserve"> extends to residents of predominantly minority neighborhoods, </w:t>
            </w:r>
          </w:p>
          <w:p w:rsidR="00025C70" w:rsidRPr="00EA2DCE" w:rsidRDefault="00B81F61" w:rsidP="00B81F61">
            <w:pPr>
              <w:pStyle w:val="ListParagraph"/>
              <w:numPr>
                <w:ilvl w:val="0"/>
                <w:numId w:val="6"/>
              </w:numPr>
              <w:rPr>
                <w:rFonts w:cs="Times New Roman"/>
              </w:rPr>
            </w:pPr>
            <w:r w:rsidRPr="00EA2DCE">
              <w:rPr>
                <w:rFonts w:cs="Times New Roman"/>
              </w:rPr>
              <w:t xml:space="preserve">Invest $300,000 in advertising, outreach, financial education, and credit repair in order to improve the bank’s visibility in, and successful expansion into, its new service area. </w:t>
            </w:r>
          </w:p>
          <w:p w:rsidR="00025C70" w:rsidRPr="00EA2DCE" w:rsidRDefault="00025C70" w:rsidP="00B81F61">
            <w:pPr>
              <w:pStyle w:val="ListParagraph"/>
              <w:numPr>
                <w:ilvl w:val="0"/>
                <w:numId w:val="6"/>
              </w:numPr>
              <w:rPr>
                <w:rFonts w:cs="Times New Roman"/>
              </w:rPr>
            </w:pPr>
            <w:r w:rsidRPr="00EA2DCE">
              <w:rPr>
                <w:rFonts w:cs="Times New Roman"/>
              </w:rPr>
              <w:t>Em</w:t>
            </w:r>
            <w:r w:rsidR="00B81F61" w:rsidRPr="00EA2DCE">
              <w:rPr>
                <w:rFonts w:cs="Times New Roman"/>
              </w:rPr>
              <w:t>ploy a community development officer to oversee the development of the bank’s lending in predo</w:t>
            </w:r>
            <w:r w:rsidRPr="00EA2DCE">
              <w:rPr>
                <w:rFonts w:cs="Times New Roman"/>
              </w:rPr>
              <w:t>minantly minority neighborhoods</w:t>
            </w:r>
          </w:p>
          <w:p w:rsidR="00B81F61" w:rsidRPr="00EA2DCE" w:rsidRDefault="00025C70" w:rsidP="00025C70">
            <w:pPr>
              <w:pStyle w:val="ListParagraph"/>
              <w:numPr>
                <w:ilvl w:val="0"/>
                <w:numId w:val="6"/>
              </w:numPr>
              <w:rPr>
                <w:rFonts w:cs="Times New Roman"/>
              </w:rPr>
            </w:pPr>
            <w:r w:rsidRPr="00EA2DCE">
              <w:rPr>
                <w:rFonts w:cs="Times New Roman"/>
              </w:rPr>
              <w:t>C</w:t>
            </w:r>
            <w:r w:rsidR="00B81F61" w:rsidRPr="00EA2DCE">
              <w:rPr>
                <w:rFonts w:cs="Times New Roman"/>
              </w:rPr>
              <w:t>onduct f</w:t>
            </w:r>
            <w:r w:rsidRPr="00EA2DCE">
              <w:rPr>
                <w:rFonts w:cs="Times New Roman"/>
              </w:rPr>
              <w:t>air lending training</w:t>
            </w:r>
          </w:p>
        </w:tc>
      </w:tr>
      <w:tr w:rsidR="00770D84" w:rsidRPr="00EA2DCE" w:rsidTr="001B4468">
        <w:trPr>
          <w:cantSplit/>
          <w:trHeight w:val="238"/>
        </w:trPr>
        <w:tc>
          <w:tcPr>
            <w:tcW w:w="1620" w:type="dxa"/>
            <w:shd w:val="clear" w:color="auto" w:fill="auto"/>
          </w:tcPr>
          <w:p w:rsidR="00770D84" w:rsidRPr="00EA2DCE" w:rsidRDefault="00DE7A21">
            <w:pPr>
              <w:rPr>
                <w:rFonts w:cs="Times New Roman"/>
              </w:rPr>
            </w:pPr>
            <w:hyperlink r:id="rId34" w:history="1">
              <w:r w:rsidR="00770D84" w:rsidRPr="00EA2DCE">
                <w:rPr>
                  <w:rStyle w:val="Hyperlink"/>
                  <w:rFonts w:cs="Times New Roman"/>
                </w:rPr>
                <w:t>Flood</w:t>
              </w:r>
            </w:hyperlink>
          </w:p>
        </w:tc>
        <w:tc>
          <w:tcPr>
            <w:tcW w:w="1890" w:type="dxa"/>
            <w:shd w:val="clear" w:color="auto" w:fill="auto"/>
          </w:tcPr>
          <w:p w:rsidR="00770D84" w:rsidRPr="00EA2DCE" w:rsidRDefault="00770D84">
            <w:pPr>
              <w:rPr>
                <w:rFonts w:cs="Times New Roman"/>
              </w:rPr>
            </w:pPr>
            <w:r w:rsidRPr="00EA2DCE">
              <w:rPr>
                <w:rFonts w:cs="Times New Roman"/>
              </w:rPr>
              <w:t>The Bank of Fayette County</w:t>
            </w:r>
          </w:p>
          <w:p w:rsidR="00770D84" w:rsidRPr="00EA2DCE" w:rsidRDefault="00770D84">
            <w:pPr>
              <w:rPr>
                <w:rFonts w:cs="Times New Roman"/>
              </w:rPr>
            </w:pPr>
            <w:r w:rsidRPr="00EA2DCE">
              <w:rPr>
                <w:rFonts w:cs="Times New Roman"/>
              </w:rPr>
              <w:t>(</w:t>
            </w:r>
            <w:proofErr w:type="spellStart"/>
            <w:r w:rsidRPr="00EA2DCE">
              <w:rPr>
                <w:rFonts w:cs="Times New Roman"/>
              </w:rPr>
              <w:t>Piperton</w:t>
            </w:r>
            <w:proofErr w:type="spellEnd"/>
            <w:r w:rsidRPr="00EA2DCE">
              <w:rPr>
                <w:rFonts w:cs="Times New Roman"/>
              </w:rPr>
              <w:t>, TN)</w:t>
            </w:r>
          </w:p>
        </w:tc>
        <w:tc>
          <w:tcPr>
            <w:tcW w:w="4410" w:type="dxa"/>
            <w:shd w:val="clear" w:color="auto" w:fill="auto"/>
          </w:tcPr>
          <w:p w:rsidR="00770D84" w:rsidRPr="00EA2DCE" w:rsidRDefault="00770D84" w:rsidP="009B72F1">
            <w:pPr>
              <w:pStyle w:val="ListParagraph"/>
              <w:numPr>
                <w:ilvl w:val="0"/>
                <w:numId w:val="6"/>
              </w:numPr>
              <w:rPr>
                <w:rFonts w:cs="Times New Roman"/>
              </w:rPr>
            </w:pPr>
            <w:r w:rsidRPr="00EA2DCE">
              <w:rPr>
                <w:rFonts w:cs="Times New Roman"/>
              </w:rPr>
              <w:t>Pattern or practice of violations of Regulation H, 12 C.F.R. § 208.25, that implements the requirements of the Flood Disaster Protection Act.</w:t>
            </w:r>
          </w:p>
        </w:tc>
        <w:tc>
          <w:tcPr>
            <w:tcW w:w="1350" w:type="dxa"/>
            <w:shd w:val="clear" w:color="auto" w:fill="auto"/>
          </w:tcPr>
          <w:p w:rsidR="00770D84" w:rsidRPr="00EA2DCE" w:rsidRDefault="00770D84">
            <w:pPr>
              <w:rPr>
                <w:rFonts w:cs="Times New Roman"/>
              </w:rPr>
            </w:pPr>
            <w:r w:rsidRPr="00EA2DCE">
              <w:rPr>
                <w:rFonts w:cs="Times New Roman"/>
              </w:rPr>
              <w:t>CMP</w:t>
            </w:r>
          </w:p>
        </w:tc>
        <w:tc>
          <w:tcPr>
            <w:tcW w:w="1260" w:type="dxa"/>
            <w:shd w:val="clear" w:color="auto" w:fill="auto"/>
          </w:tcPr>
          <w:p w:rsidR="00770D84" w:rsidRPr="00EA2DCE" w:rsidRDefault="00770D84">
            <w:pPr>
              <w:rPr>
                <w:rFonts w:cs="Times New Roman"/>
              </w:rPr>
            </w:pPr>
            <w:r w:rsidRPr="00EA2DCE">
              <w:rPr>
                <w:rFonts w:cs="Times New Roman"/>
              </w:rPr>
              <w:t>FRB</w:t>
            </w:r>
          </w:p>
        </w:tc>
        <w:tc>
          <w:tcPr>
            <w:tcW w:w="1080" w:type="dxa"/>
            <w:shd w:val="clear" w:color="auto" w:fill="auto"/>
          </w:tcPr>
          <w:p w:rsidR="00770D84" w:rsidRPr="00EA2DCE" w:rsidRDefault="00770D84">
            <w:pPr>
              <w:rPr>
                <w:rFonts w:cs="Times New Roman"/>
              </w:rPr>
            </w:pPr>
            <w:r w:rsidRPr="00EA2DCE">
              <w:rPr>
                <w:rFonts w:cs="Times New Roman"/>
              </w:rPr>
              <w:t>5/1/18</w:t>
            </w:r>
          </w:p>
        </w:tc>
        <w:tc>
          <w:tcPr>
            <w:tcW w:w="2880" w:type="dxa"/>
            <w:shd w:val="clear" w:color="auto" w:fill="auto"/>
          </w:tcPr>
          <w:p w:rsidR="00770D84" w:rsidRPr="00EA2DCE" w:rsidRDefault="00770D84" w:rsidP="009E3BAA">
            <w:pPr>
              <w:rPr>
                <w:rFonts w:cs="Times New Roman"/>
              </w:rPr>
            </w:pPr>
            <w:r w:rsidRPr="00EA2DCE">
              <w:rPr>
                <w:rFonts w:cs="Times New Roman"/>
              </w:rPr>
              <w:t>CMP: $12,000</w:t>
            </w:r>
          </w:p>
        </w:tc>
      </w:tr>
      <w:tr w:rsidR="00DF7207" w:rsidRPr="00EA2DCE" w:rsidTr="001B4468">
        <w:trPr>
          <w:cantSplit/>
          <w:trHeight w:val="238"/>
        </w:trPr>
        <w:tc>
          <w:tcPr>
            <w:tcW w:w="1620" w:type="dxa"/>
            <w:shd w:val="clear" w:color="auto" w:fill="auto"/>
          </w:tcPr>
          <w:p w:rsidR="00DF7207" w:rsidRPr="00EA2DCE" w:rsidRDefault="00DE7A21">
            <w:pPr>
              <w:rPr>
                <w:rFonts w:cs="Times New Roman"/>
              </w:rPr>
            </w:pPr>
            <w:hyperlink r:id="rId35" w:history="1">
              <w:r w:rsidR="00DF7207" w:rsidRPr="00EA2DCE">
                <w:rPr>
                  <w:rStyle w:val="Hyperlink"/>
                  <w:rFonts w:cs="Times New Roman"/>
                </w:rPr>
                <w:t>Flood</w:t>
              </w:r>
            </w:hyperlink>
          </w:p>
        </w:tc>
        <w:tc>
          <w:tcPr>
            <w:tcW w:w="1890" w:type="dxa"/>
            <w:shd w:val="clear" w:color="auto" w:fill="auto"/>
          </w:tcPr>
          <w:p w:rsidR="00DF7207" w:rsidRPr="00EA2DCE" w:rsidRDefault="00DF7207">
            <w:pPr>
              <w:rPr>
                <w:rFonts w:cs="Times New Roman"/>
              </w:rPr>
            </w:pPr>
            <w:r w:rsidRPr="00EA2DCE">
              <w:rPr>
                <w:rFonts w:cs="Times New Roman"/>
              </w:rPr>
              <w:t>PNC Bank</w:t>
            </w:r>
          </w:p>
          <w:p w:rsidR="00D10044" w:rsidRPr="00EA2DCE" w:rsidRDefault="00D10044">
            <w:pPr>
              <w:rPr>
                <w:rFonts w:cs="Times New Roman"/>
              </w:rPr>
            </w:pPr>
            <w:r w:rsidRPr="00EA2DCE">
              <w:rPr>
                <w:rFonts w:cs="Times New Roman"/>
              </w:rPr>
              <w:t>(Pittsburgh, PA)</w:t>
            </w:r>
          </w:p>
        </w:tc>
        <w:tc>
          <w:tcPr>
            <w:tcW w:w="4410" w:type="dxa"/>
            <w:shd w:val="clear" w:color="auto" w:fill="auto"/>
          </w:tcPr>
          <w:p w:rsidR="00DF7207" w:rsidRPr="00EA2DCE" w:rsidRDefault="00DF7207" w:rsidP="009B72F1">
            <w:pPr>
              <w:pStyle w:val="ListParagraph"/>
              <w:numPr>
                <w:ilvl w:val="0"/>
                <w:numId w:val="6"/>
              </w:numPr>
              <w:rPr>
                <w:rFonts w:cs="Times New Roman"/>
              </w:rPr>
            </w:pPr>
            <w:r w:rsidRPr="00EA2DCE">
              <w:rPr>
                <w:rFonts w:cs="Times New Roman"/>
              </w:rPr>
              <w:t>Pattern or practice of violations of the Flood Act and its implementing regulations, specifically 12 C.F.R. § 22.3(a);</w:t>
            </w:r>
          </w:p>
        </w:tc>
        <w:tc>
          <w:tcPr>
            <w:tcW w:w="1350" w:type="dxa"/>
            <w:shd w:val="clear" w:color="auto" w:fill="auto"/>
          </w:tcPr>
          <w:p w:rsidR="00DF7207" w:rsidRPr="00EA2DCE" w:rsidRDefault="00DF7207">
            <w:pPr>
              <w:rPr>
                <w:rFonts w:cs="Times New Roman"/>
              </w:rPr>
            </w:pPr>
            <w:r w:rsidRPr="00EA2DCE">
              <w:rPr>
                <w:rFonts w:cs="Times New Roman"/>
              </w:rPr>
              <w:t>CMP</w:t>
            </w:r>
          </w:p>
        </w:tc>
        <w:tc>
          <w:tcPr>
            <w:tcW w:w="1260" w:type="dxa"/>
            <w:shd w:val="clear" w:color="auto" w:fill="auto"/>
          </w:tcPr>
          <w:p w:rsidR="00DF7207" w:rsidRPr="00EA2DCE" w:rsidRDefault="00DF7207">
            <w:pPr>
              <w:rPr>
                <w:rFonts w:cs="Times New Roman"/>
              </w:rPr>
            </w:pPr>
            <w:r w:rsidRPr="00EA2DCE">
              <w:rPr>
                <w:rFonts w:cs="Times New Roman"/>
              </w:rPr>
              <w:t>OCC</w:t>
            </w:r>
          </w:p>
        </w:tc>
        <w:tc>
          <w:tcPr>
            <w:tcW w:w="1080" w:type="dxa"/>
            <w:shd w:val="clear" w:color="auto" w:fill="auto"/>
          </w:tcPr>
          <w:p w:rsidR="00DF7207" w:rsidRPr="00EA2DCE" w:rsidRDefault="00DF7207">
            <w:pPr>
              <w:rPr>
                <w:rFonts w:cs="Times New Roman"/>
              </w:rPr>
            </w:pPr>
            <w:r w:rsidRPr="00EA2DCE">
              <w:rPr>
                <w:rFonts w:cs="Times New Roman"/>
              </w:rPr>
              <w:t>5/1/18</w:t>
            </w:r>
          </w:p>
        </w:tc>
        <w:tc>
          <w:tcPr>
            <w:tcW w:w="2880" w:type="dxa"/>
            <w:shd w:val="clear" w:color="auto" w:fill="auto"/>
          </w:tcPr>
          <w:p w:rsidR="00DF7207" w:rsidRPr="00EA2DCE" w:rsidRDefault="00DF7207" w:rsidP="009E3BAA">
            <w:pPr>
              <w:rPr>
                <w:rFonts w:cs="Times New Roman"/>
              </w:rPr>
            </w:pPr>
            <w:r w:rsidRPr="00EA2DCE">
              <w:rPr>
                <w:rFonts w:cs="Times New Roman"/>
              </w:rPr>
              <w:t>CMP: $207,245</w:t>
            </w:r>
          </w:p>
        </w:tc>
      </w:tr>
      <w:tr w:rsidR="00AF667B" w:rsidRPr="00EA2DCE" w:rsidTr="001B4468">
        <w:trPr>
          <w:cantSplit/>
          <w:trHeight w:val="238"/>
        </w:trPr>
        <w:tc>
          <w:tcPr>
            <w:tcW w:w="1620" w:type="dxa"/>
            <w:shd w:val="clear" w:color="auto" w:fill="auto"/>
          </w:tcPr>
          <w:p w:rsidR="006D6916" w:rsidRPr="00EA2DCE" w:rsidRDefault="00DE7A21">
            <w:pPr>
              <w:rPr>
                <w:rFonts w:cs="Times New Roman"/>
              </w:rPr>
            </w:pPr>
            <w:hyperlink r:id="rId36" w:history="1">
              <w:r w:rsidR="00724EA0" w:rsidRPr="00EA2DCE">
                <w:rPr>
                  <w:rStyle w:val="Hyperlink"/>
                  <w:rFonts w:cs="Times New Roman"/>
                </w:rPr>
                <w:t>Flood</w:t>
              </w:r>
            </w:hyperlink>
          </w:p>
        </w:tc>
        <w:tc>
          <w:tcPr>
            <w:tcW w:w="1890" w:type="dxa"/>
            <w:shd w:val="clear" w:color="auto" w:fill="auto"/>
          </w:tcPr>
          <w:p w:rsidR="00CD3FD6" w:rsidRPr="00EA2DCE" w:rsidRDefault="00B36CD8">
            <w:pPr>
              <w:rPr>
                <w:rFonts w:cs="Times New Roman"/>
              </w:rPr>
            </w:pPr>
            <w:r w:rsidRPr="00EA2DCE">
              <w:rPr>
                <w:rFonts w:cs="Times New Roman"/>
              </w:rPr>
              <w:t>Sussex Bank</w:t>
            </w:r>
          </w:p>
          <w:p w:rsidR="00724EA0" w:rsidRPr="00EA2DCE" w:rsidRDefault="00B36CD8">
            <w:pPr>
              <w:rPr>
                <w:rFonts w:cs="Times New Roman"/>
              </w:rPr>
            </w:pPr>
            <w:r w:rsidRPr="00EA2DCE">
              <w:rPr>
                <w:rFonts w:cs="Times New Roman"/>
              </w:rPr>
              <w:t>(</w:t>
            </w:r>
            <w:r w:rsidR="00724EA0" w:rsidRPr="00EA2DCE">
              <w:rPr>
                <w:rFonts w:cs="Times New Roman"/>
              </w:rPr>
              <w:t>Franklin, NJ</w:t>
            </w:r>
            <w:r w:rsidRPr="00EA2DCE">
              <w:rPr>
                <w:rFonts w:cs="Times New Roman"/>
              </w:rPr>
              <w:t>)</w:t>
            </w:r>
          </w:p>
        </w:tc>
        <w:tc>
          <w:tcPr>
            <w:tcW w:w="4410" w:type="dxa"/>
            <w:shd w:val="clear" w:color="auto" w:fill="auto"/>
          </w:tcPr>
          <w:p w:rsidR="006D6916" w:rsidRPr="00EA2DCE" w:rsidRDefault="00724EA0" w:rsidP="00724EA0">
            <w:pPr>
              <w:pStyle w:val="ListParagraph"/>
              <w:numPr>
                <w:ilvl w:val="0"/>
                <w:numId w:val="6"/>
              </w:numPr>
              <w:rPr>
                <w:rFonts w:cs="Times New Roman"/>
              </w:rPr>
            </w:pPr>
            <w:r w:rsidRPr="00EA2DCE">
              <w:rPr>
                <w:rFonts w:cs="Times New Roman"/>
              </w:rPr>
              <w:t xml:space="preserve">Bank engaged in a pattern or practice of committing violations of the FDPA and/or the notice requirements under section 1364 of the National Flood Insurance Act of 1968, 42 U.S.C. 4104a, </w:t>
            </w:r>
            <w:proofErr w:type="gramStart"/>
            <w:r w:rsidRPr="00EA2DCE">
              <w:rPr>
                <w:rFonts w:cs="Times New Roman"/>
              </w:rPr>
              <w:t>(</w:t>
            </w:r>
            <w:proofErr w:type="gramEnd"/>
            <w:r w:rsidRPr="00EA2DCE">
              <w:rPr>
                <w:rFonts w:cs="Times New Roman"/>
              </w:rPr>
              <w:t>12 C.F.R. Part 339). On 20 occasions violated the FDPA and 12 C.F.R. § 339.3(a), which requires that the building, mobile home, and personal property securing a designated loan be covered by flood insurance for the tem1 of the loan.</w:t>
            </w:r>
          </w:p>
        </w:tc>
        <w:tc>
          <w:tcPr>
            <w:tcW w:w="1350" w:type="dxa"/>
            <w:shd w:val="clear" w:color="auto" w:fill="auto"/>
          </w:tcPr>
          <w:p w:rsidR="006D6916" w:rsidRPr="00EA2DCE" w:rsidRDefault="00724EA0">
            <w:pPr>
              <w:rPr>
                <w:rFonts w:cs="Times New Roman"/>
              </w:rPr>
            </w:pPr>
            <w:r w:rsidRPr="00EA2DCE">
              <w:rPr>
                <w:rFonts w:cs="Times New Roman"/>
              </w:rPr>
              <w:t>CMP</w:t>
            </w:r>
          </w:p>
        </w:tc>
        <w:tc>
          <w:tcPr>
            <w:tcW w:w="1260" w:type="dxa"/>
            <w:shd w:val="clear" w:color="auto" w:fill="auto"/>
          </w:tcPr>
          <w:p w:rsidR="006D6916" w:rsidRPr="00EA2DCE" w:rsidRDefault="00724EA0">
            <w:pPr>
              <w:rPr>
                <w:rFonts w:cs="Times New Roman"/>
              </w:rPr>
            </w:pPr>
            <w:r w:rsidRPr="00EA2DCE">
              <w:rPr>
                <w:rFonts w:cs="Times New Roman"/>
              </w:rPr>
              <w:t>FDIC</w:t>
            </w:r>
          </w:p>
        </w:tc>
        <w:tc>
          <w:tcPr>
            <w:tcW w:w="1080" w:type="dxa"/>
            <w:shd w:val="clear" w:color="auto" w:fill="auto"/>
          </w:tcPr>
          <w:p w:rsidR="006D6916" w:rsidRPr="00EA2DCE" w:rsidRDefault="00724EA0">
            <w:pPr>
              <w:rPr>
                <w:rFonts w:cs="Times New Roman"/>
              </w:rPr>
            </w:pPr>
            <w:r w:rsidRPr="00EA2DCE">
              <w:rPr>
                <w:rFonts w:cs="Times New Roman"/>
              </w:rPr>
              <w:t>4/10/18</w:t>
            </w:r>
          </w:p>
        </w:tc>
        <w:tc>
          <w:tcPr>
            <w:tcW w:w="2880" w:type="dxa"/>
            <w:shd w:val="clear" w:color="auto" w:fill="auto"/>
          </w:tcPr>
          <w:p w:rsidR="00AD56C0" w:rsidRPr="00EA2DCE" w:rsidRDefault="00724EA0" w:rsidP="00BA4592">
            <w:pPr>
              <w:rPr>
                <w:rFonts w:cs="Times New Roman"/>
              </w:rPr>
            </w:pPr>
            <w:r w:rsidRPr="00EA2DCE">
              <w:rPr>
                <w:rFonts w:cs="Times New Roman"/>
              </w:rPr>
              <w:t>CMP: $5,000</w:t>
            </w:r>
          </w:p>
        </w:tc>
      </w:tr>
      <w:tr w:rsidR="009E1F5D" w:rsidRPr="00EA2DCE" w:rsidTr="001B4468">
        <w:trPr>
          <w:cantSplit/>
          <w:trHeight w:val="238"/>
        </w:trPr>
        <w:tc>
          <w:tcPr>
            <w:tcW w:w="1620" w:type="dxa"/>
            <w:shd w:val="clear" w:color="auto" w:fill="auto"/>
          </w:tcPr>
          <w:p w:rsidR="009E1F5D" w:rsidRPr="00EA2DCE" w:rsidRDefault="00DE7A21">
            <w:pPr>
              <w:rPr>
                <w:rFonts w:cs="Times New Roman"/>
              </w:rPr>
            </w:pPr>
            <w:hyperlink r:id="rId37" w:history="1">
              <w:r w:rsidR="00BA3509" w:rsidRPr="00EA2DCE">
                <w:rPr>
                  <w:rStyle w:val="Hyperlink"/>
                  <w:rFonts w:cs="Times New Roman"/>
                </w:rPr>
                <w:t>UDAP/     UDAAP</w:t>
              </w:r>
            </w:hyperlink>
          </w:p>
        </w:tc>
        <w:tc>
          <w:tcPr>
            <w:tcW w:w="1890" w:type="dxa"/>
            <w:shd w:val="clear" w:color="auto" w:fill="auto"/>
          </w:tcPr>
          <w:p w:rsidR="009E1F5D" w:rsidRPr="00EA2DCE" w:rsidRDefault="0024548B">
            <w:pPr>
              <w:rPr>
                <w:rFonts w:cs="Times New Roman"/>
              </w:rPr>
            </w:pPr>
            <w:r w:rsidRPr="00EA2DCE">
              <w:rPr>
                <w:rFonts w:cs="Times New Roman"/>
              </w:rPr>
              <w:t>Wells Fargo</w:t>
            </w:r>
          </w:p>
          <w:p w:rsidR="0024548B" w:rsidRPr="00EA2DCE" w:rsidRDefault="0024548B">
            <w:pPr>
              <w:rPr>
                <w:rFonts w:cs="Times New Roman"/>
              </w:rPr>
            </w:pPr>
            <w:r w:rsidRPr="00EA2DCE">
              <w:rPr>
                <w:rFonts w:cs="Times New Roman"/>
              </w:rPr>
              <w:t>(Sioux Falls, SD)</w:t>
            </w:r>
          </w:p>
        </w:tc>
        <w:tc>
          <w:tcPr>
            <w:tcW w:w="4410" w:type="dxa"/>
            <w:shd w:val="clear" w:color="auto" w:fill="auto"/>
          </w:tcPr>
          <w:p w:rsidR="0024548B" w:rsidRPr="00EA2DCE" w:rsidRDefault="0024548B" w:rsidP="00724EA0">
            <w:pPr>
              <w:pStyle w:val="ListParagraph"/>
              <w:numPr>
                <w:ilvl w:val="0"/>
                <w:numId w:val="6"/>
              </w:numPr>
              <w:rPr>
                <w:rFonts w:cs="Times New Roman"/>
              </w:rPr>
            </w:pPr>
            <w:r w:rsidRPr="00EA2DCE">
              <w:rPr>
                <w:rFonts w:cs="Times New Roman"/>
              </w:rPr>
              <w:t>Unfairly failed to follow the mortgage-interest-rate-lock process it explained to some prospective borrowers; and</w:t>
            </w:r>
          </w:p>
          <w:p w:rsidR="009E1F5D" w:rsidRPr="00EA2DCE" w:rsidRDefault="0024548B" w:rsidP="00724EA0">
            <w:pPr>
              <w:pStyle w:val="ListParagraph"/>
              <w:numPr>
                <w:ilvl w:val="0"/>
                <w:numId w:val="6"/>
              </w:numPr>
              <w:rPr>
                <w:rFonts w:cs="Times New Roman"/>
              </w:rPr>
            </w:pPr>
            <w:r w:rsidRPr="00EA2DCE">
              <w:rPr>
                <w:rFonts w:cs="Times New Roman"/>
              </w:rPr>
              <w:t>Operated its Force-Placed Insurance program in an unfair manner.</w:t>
            </w:r>
          </w:p>
        </w:tc>
        <w:tc>
          <w:tcPr>
            <w:tcW w:w="1350" w:type="dxa"/>
            <w:shd w:val="clear" w:color="auto" w:fill="auto"/>
          </w:tcPr>
          <w:p w:rsidR="009E1F5D" w:rsidRPr="00EA2DCE" w:rsidRDefault="009E1F5D">
            <w:pPr>
              <w:rPr>
                <w:rFonts w:cs="Times New Roman"/>
              </w:rPr>
            </w:pPr>
            <w:r w:rsidRPr="00EA2DCE">
              <w:rPr>
                <w:rFonts w:cs="Times New Roman"/>
              </w:rPr>
              <w:t>Consent Order/CMP</w:t>
            </w:r>
          </w:p>
        </w:tc>
        <w:tc>
          <w:tcPr>
            <w:tcW w:w="1260" w:type="dxa"/>
            <w:shd w:val="clear" w:color="auto" w:fill="auto"/>
          </w:tcPr>
          <w:p w:rsidR="00CD7F5C" w:rsidRPr="00EA2DCE" w:rsidRDefault="00CD7F5C">
            <w:pPr>
              <w:rPr>
                <w:rFonts w:cs="Times New Roman"/>
              </w:rPr>
            </w:pPr>
            <w:r w:rsidRPr="00EA2DCE">
              <w:rPr>
                <w:rFonts w:cs="Times New Roman"/>
              </w:rPr>
              <w:t>CFPB</w:t>
            </w:r>
            <w:r w:rsidR="0024548B" w:rsidRPr="00EA2DCE">
              <w:rPr>
                <w:rFonts w:cs="Times New Roman"/>
              </w:rPr>
              <w:t>/</w:t>
            </w:r>
          </w:p>
          <w:p w:rsidR="009E1F5D" w:rsidRPr="00EA2DCE" w:rsidRDefault="0024548B">
            <w:pPr>
              <w:rPr>
                <w:rFonts w:cs="Times New Roman"/>
              </w:rPr>
            </w:pPr>
            <w:r w:rsidRPr="00EA2DCE">
              <w:rPr>
                <w:rFonts w:cs="Times New Roman"/>
              </w:rPr>
              <w:t>OCC</w:t>
            </w:r>
          </w:p>
        </w:tc>
        <w:tc>
          <w:tcPr>
            <w:tcW w:w="1080" w:type="dxa"/>
            <w:shd w:val="clear" w:color="auto" w:fill="auto"/>
          </w:tcPr>
          <w:p w:rsidR="009E1F5D" w:rsidRPr="00EA2DCE" w:rsidRDefault="0024548B">
            <w:pPr>
              <w:rPr>
                <w:rFonts w:cs="Times New Roman"/>
              </w:rPr>
            </w:pPr>
            <w:r w:rsidRPr="00EA2DCE">
              <w:rPr>
                <w:rFonts w:cs="Times New Roman"/>
              </w:rPr>
              <w:t>4/20/18</w:t>
            </w:r>
          </w:p>
        </w:tc>
        <w:tc>
          <w:tcPr>
            <w:tcW w:w="2880" w:type="dxa"/>
            <w:shd w:val="clear" w:color="auto" w:fill="auto"/>
          </w:tcPr>
          <w:p w:rsidR="009E1F5D" w:rsidRPr="00EA2DCE" w:rsidRDefault="0024548B" w:rsidP="00BA4592">
            <w:pPr>
              <w:rPr>
                <w:rFonts w:cs="Times New Roman"/>
              </w:rPr>
            </w:pPr>
            <w:r w:rsidRPr="00EA2DCE">
              <w:rPr>
                <w:rFonts w:cs="Times New Roman"/>
              </w:rPr>
              <w:t>CMP: $1 billion</w:t>
            </w:r>
          </w:p>
          <w:p w:rsidR="0024548B" w:rsidRPr="00EA2DCE" w:rsidRDefault="0024548B" w:rsidP="0024548B">
            <w:pPr>
              <w:pStyle w:val="ListParagraph"/>
              <w:numPr>
                <w:ilvl w:val="0"/>
                <w:numId w:val="7"/>
              </w:numPr>
              <w:rPr>
                <w:rFonts w:cs="Times New Roman"/>
              </w:rPr>
            </w:pPr>
            <w:r w:rsidRPr="00EA2DCE">
              <w:rPr>
                <w:rFonts w:cs="Times New Roman"/>
              </w:rPr>
              <w:t>Submit Compliance Risk Management and Audit Plan</w:t>
            </w:r>
          </w:p>
          <w:p w:rsidR="0024548B" w:rsidRPr="00EA2DCE" w:rsidRDefault="0024548B" w:rsidP="0024548B">
            <w:pPr>
              <w:pStyle w:val="ListParagraph"/>
              <w:numPr>
                <w:ilvl w:val="0"/>
                <w:numId w:val="7"/>
              </w:numPr>
              <w:rPr>
                <w:rFonts w:cs="Times New Roman"/>
              </w:rPr>
            </w:pPr>
            <w:r w:rsidRPr="00EA2DCE">
              <w:rPr>
                <w:rFonts w:cs="Times New Roman"/>
              </w:rPr>
              <w:t>Submit remediation Plan</w:t>
            </w:r>
          </w:p>
        </w:tc>
      </w:tr>
      <w:tr w:rsidR="002B306C" w:rsidRPr="00EA2DCE" w:rsidTr="001B4468">
        <w:trPr>
          <w:cantSplit/>
          <w:trHeight w:val="238"/>
        </w:trPr>
        <w:tc>
          <w:tcPr>
            <w:tcW w:w="1620" w:type="dxa"/>
            <w:shd w:val="clear" w:color="auto" w:fill="auto"/>
          </w:tcPr>
          <w:p w:rsidR="002B306C" w:rsidRPr="00EA2DCE" w:rsidRDefault="00DE7A21">
            <w:pPr>
              <w:rPr>
                <w:rFonts w:cs="Times New Roman"/>
              </w:rPr>
            </w:pPr>
            <w:hyperlink r:id="rId38" w:history="1">
              <w:r w:rsidR="002B306C" w:rsidRPr="00EA2DCE">
                <w:rPr>
                  <w:rStyle w:val="Hyperlink"/>
                  <w:rFonts w:cs="Times New Roman"/>
                </w:rPr>
                <w:t>UDAP</w:t>
              </w:r>
            </w:hyperlink>
            <w:r w:rsidR="002B306C" w:rsidRPr="00EA2DCE">
              <w:rPr>
                <w:rFonts w:cs="Times New Roman"/>
              </w:rPr>
              <w:t xml:space="preserve"> (FDIC Link broken)</w:t>
            </w:r>
          </w:p>
        </w:tc>
        <w:tc>
          <w:tcPr>
            <w:tcW w:w="1890" w:type="dxa"/>
            <w:shd w:val="clear" w:color="auto" w:fill="auto"/>
          </w:tcPr>
          <w:p w:rsidR="002B306C" w:rsidRPr="00EA2DCE" w:rsidRDefault="002B306C">
            <w:pPr>
              <w:rPr>
                <w:rFonts w:cs="Times New Roman"/>
              </w:rPr>
            </w:pPr>
            <w:r w:rsidRPr="00EA2DCE">
              <w:rPr>
                <w:rFonts w:cs="Times New Roman"/>
              </w:rPr>
              <w:t>Cross River Bank,</w:t>
            </w:r>
          </w:p>
          <w:p w:rsidR="00B36CD8" w:rsidRPr="00EA2DCE" w:rsidRDefault="00B36CD8">
            <w:pPr>
              <w:rPr>
                <w:rFonts w:cs="Times New Roman"/>
              </w:rPr>
            </w:pPr>
            <w:r w:rsidRPr="00EA2DCE">
              <w:rPr>
                <w:rFonts w:cs="Times New Roman"/>
              </w:rPr>
              <w:t xml:space="preserve">and </w:t>
            </w:r>
          </w:p>
          <w:p w:rsidR="00B36CD8" w:rsidRPr="00EA2DCE" w:rsidRDefault="00B36CD8">
            <w:pPr>
              <w:rPr>
                <w:rFonts w:cs="Times New Roman"/>
              </w:rPr>
            </w:pPr>
            <w:r w:rsidRPr="00EA2DCE">
              <w:rPr>
                <w:rFonts w:cs="Times New Roman"/>
              </w:rPr>
              <w:t>Freedom Financial Asset Management, LLC</w:t>
            </w:r>
          </w:p>
          <w:p w:rsidR="00B36CD8" w:rsidRPr="00EA2DCE" w:rsidRDefault="00B36CD8" w:rsidP="00B36CD8">
            <w:pPr>
              <w:rPr>
                <w:rFonts w:cs="Times New Roman"/>
              </w:rPr>
            </w:pPr>
            <w:r w:rsidRPr="00EA2DCE">
              <w:rPr>
                <w:rFonts w:cs="Times New Roman"/>
              </w:rPr>
              <w:t>(Teaneck, NJ)</w:t>
            </w:r>
          </w:p>
          <w:p w:rsidR="00B36CD8" w:rsidRPr="00EA2DCE" w:rsidRDefault="00B36CD8">
            <w:pPr>
              <w:rPr>
                <w:rFonts w:cs="Times New Roman"/>
              </w:rPr>
            </w:pPr>
          </w:p>
        </w:tc>
        <w:tc>
          <w:tcPr>
            <w:tcW w:w="4410" w:type="dxa"/>
            <w:shd w:val="clear" w:color="auto" w:fill="auto"/>
          </w:tcPr>
          <w:p w:rsidR="00B36CD8" w:rsidRPr="00EA2DCE" w:rsidRDefault="002B306C" w:rsidP="00B36CD8">
            <w:pPr>
              <w:rPr>
                <w:rFonts w:cs="Times New Roman"/>
              </w:rPr>
            </w:pPr>
            <w:r w:rsidRPr="00EA2DCE">
              <w:rPr>
                <w:rFonts w:cs="Times New Roman"/>
              </w:rPr>
              <w:t>Bank committed violations of la</w:t>
            </w:r>
            <w:r w:rsidR="00B36CD8" w:rsidRPr="00EA2DCE">
              <w:rPr>
                <w:rFonts w:cs="Times New Roman"/>
              </w:rPr>
              <w:t>w and/or regulations, including</w:t>
            </w:r>
            <w:r w:rsidRPr="00EA2DCE">
              <w:rPr>
                <w:rFonts w:cs="Times New Roman"/>
              </w:rPr>
              <w:t xml:space="preserve">: </w:t>
            </w:r>
          </w:p>
          <w:p w:rsidR="00B36CD8" w:rsidRPr="00EA2DCE" w:rsidRDefault="00B36CD8" w:rsidP="00B36CD8">
            <w:pPr>
              <w:pStyle w:val="ListParagraph"/>
              <w:numPr>
                <w:ilvl w:val="0"/>
                <w:numId w:val="6"/>
              </w:numPr>
              <w:rPr>
                <w:rFonts w:cs="Times New Roman"/>
              </w:rPr>
            </w:pPr>
            <w:r w:rsidRPr="00EA2DCE">
              <w:rPr>
                <w:rFonts w:cs="Times New Roman"/>
              </w:rPr>
              <w:t>UDAP,</w:t>
            </w:r>
            <w:r w:rsidR="002B306C" w:rsidRPr="00EA2DCE">
              <w:rPr>
                <w:rFonts w:cs="Times New Roman"/>
              </w:rPr>
              <w:t xml:space="preserve"> Section 5 of the Federal Trade Commission Act (“Section 5”), 15 U.S.C. § 45(a)(1); </w:t>
            </w:r>
          </w:p>
          <w:p w:rsidR="00B36CD8" w:rsidRPr="00EA2DCE" w:rsidRDefault="002B306C" w:rsidP="00C81E21">
            <w:pPr>
              <w:pStyle w:val="ListParagraph"/>
              <w:numPr>
                <w:ilvl w:val="0"/>
                <w:numId w:val="6"/>
              </w:numPr>
              <w:rPr>
                <w:rFonts w:cs="Times New Roman"/>
              </w:rPr>
            </w:pPr>
            <w:r w:rsidRPr="00EA2DCE">
              <w:rPr>
                <w:rFonts w:cs="Times New Roman"/>
              </w:rPr>
              <w:t>Section 1026.17(c) of Re</w:t>
            </w:r>
            <w:r w:rsidR="00B36CD8" w:rsidRPr="00EA2DCE">
              <w:rPr>
                <w:rFonts w:cs="Times New Roman"/>
              </w:rPr>
              <w:t>gulation Z, 12 C.F.R. Part 1026;</w:t>
            </w:r>
          </w:p>
          <w:p w:rsidR="002B306C" w:rsidRPr="00EA2DCE" w:rsidRDefault="002B306C" w:rsidP="00C81E21">
            <w:pPr>
              <w:pStyle w:val="ListParagraph"/>
              <w:numPr>
                <w:ilvl w:val="0"/>
                <w:numId w:val="6"/>
              </w:numPr>
              <w:rPr>
                <w:rFonts w:cs="Times New Roman"/>
              </w:rPr>
            </w:pPr>
            <w:r w:rsidRPr="00EA2DCE">
              <w:rPr>
                <w:rFonts w:cs="Times New Roman"/>
              </w:rPr>
              <w:t>Section 1005.10(e</w:t>
            </w:r>
            <w:proofErr w:type="gramStart"/>
            <w:r w:rsidRPr="00EA2DCE">
              <w:rPr>
                <w:rFonts w:cs="Times New Roman"/>
              </w:rPr>
              <w:t>)(</w:t>
            </w:r>
            <w:proofErr w:type="gramEnd"/>
            <w:r w:rsidRPr="00EA2DCE">
              <w:rPr>
                <w:rFonts w:cs="Times New Roman"/>
              </w:rPr>
              <w:t xml:space="preserve">1) of Regulation </w:t>
            </w:r>
            <w:r w:rsidR="00B36CD8" w:rsidRPr="00EA2DCE">
              <w:rPr>
                <w:rFonts w:cs="Times New Roman"/>
              </w:rPr>
              <w:t>E, 12 C.F.R. Part 1005.</w:t>
            </w:r>
          </w:p>
          <w:p w:rsidR="002B306C" w:rsidRPr="00EA2DCE" w:rsidRDefault="002B306C" w:rsidP="002B306C">
            <w:pPr>
              <w:pStyle w:val="ListParagraph"/>
              <w:numPr>
                <w:ilvl w:val="0"/>
                <w:numId w:val="6"/>
              </w:numPr>
              <w:rPr>
                <w:rFonts w:cs="Times New Roman"/>
              </w:rPr>
            </w:pPr>
            <w:r w:rsidRPr="00EA2DCE">
              <w:rPr>
                <w:rFonts w:cs="Times New Roman"/>
              </w:rPr>
              <w:t>Bank engaged in unsafe or unsound banking practices by failing to ensure an adequate compliance management system (“CMS”) was in place, including sufficient resource allocation, and operated without effectively overseeing and supervising the Bank’s products and services offered in conjunction with third parties.</w:t>
            </w:r>
          </w:p>
          <w:p w:rsidR="002B306C" w:rsidRPr="00EA2DCE" w:rsidRDefault="002B306C" w:rsidP="00B36CD8">
            <w:pPr>
              <w:pStyle w:val="ListParagraph"/>
              <w:numPr>
                <w:ilvl w:val="0"/>
                <w:numId w:val="6"/>
              </w:numPr>
              <w:rPr>
                <w:rFonts w:cs="Times New Roman"/>
              </w:rPr>
            </w:pPr>
            <w:r w:rsidRPr="00EA2DCE">
              <w:rPr>
                <w:rFonts w:cs="Times New Roman"/>
              </w:rPr>
              <w:t xml:space="preserve">FFAM, in its role in originating and servicing Consolidation Plus Loans (“C+ Loans”) and Freedom Plus Loans to consumers, committed violations of law and/or regulations, including, but not limited to, engaging in </w:t>
            </w:r>
            <w:r w:rsidR="00B36CD8" w:rsidRPr="00EA2DCE">
              <w:rPr>
                <w:rFonts w:cs="Times New Roman"/>
              </w:rPr>
              <w:t xml:space="preserve">UDAP </w:t>
            </w:r>
            <w:r w:rsidRPr="00EA2DCE">
              <w:rPr>
                <w:rFonts w:cs="Times New Roman"/>
              </w:rPr>
              <w:t>in violation of Section 5 of the Federal Trade Commission Act (“Section 5”), 15 U.S.C. § 45(a)(1); Section 1026.17(c) of Regulation Z, Sectio</w:t>
            </w:r>
            <w:r w:rsidR="00B36CD8" w:rsidRPr="00EA2DCE">
              <w:rPr>
                <w:rFonts w:cs="Times New Roman"/>
              </w:rPr>
              <w:t>n 1005.10(e)(1) of Regulation E.</w:t>
            </w:r>
          </w:p>
        </w:tc>
        <w:tc>
          <w:tcPr>
            <w:tcW w:w="1350" w:type="dxa"/>
            <w:shd w:val="clear" w:color="auto" w:fill="auto"/>
          </w:tcPr>
          <w:p w:rsidR="009B72F1" w:rsidRPr="00EA2DCE" w:rsidRDefault="002B306C">
            <w:pPr>
              <w:rPr>
                <w:rFonts w:cs="Times New Roman"/>
              </w:rPr>
            </w:pPr>
            <w:r w:rsidRPr="00EA2DCE">
              <w:rPr>
                <w:rFonts w:cs="Times New Roman"/>
              </w:rPr>
              <w:t>Consent Order</w:t>
            </w:r>
            <w:r w:rsidR="009B72F1" w:rsidRPr="00EA2DCE">
              <w:rPr>
                <w:rFonts w:cs="Times New Roman"/>
              </w:rPr>
              <w:t>/</w:t>
            </w:r>
          </w:p>
          <w:p w:rsidR="009B72F1" w:rsidRPr="00EA2DCE" w:rsidRDefault="009B72F1">
            <w:pPr>
              <w:rPr>
                <w:rFonts w:cs="Times New Roman"/>
              </w:rPr>
            </w:pPr>
            <w:r w:rsidRPr="00EA2DCE">
              <w:rPr>
                <w:rFonts w:cs="Times New Roman"/>
              </w:rPr>
              <w:t>Agreement to Pay</w:t>
            </w:r>
          </w:p>
        </w:tc>
        <w:tc>
          <w:tcPr>
            <w:tcW w:w="1260" w:type="dxa"/>
            <w:shd w:val="clear" w:color="auto" w:fill="auto"/>
          </w:tcPr>
          <w:p w:rsidR="002B306C" w:rsidRPr="00EA2DCE" w:rsidRDefault="002B306C">
            <w:pPr>
              <w:rPr>
                <w:rFonts w:cs="Times New Roman"/>
              </w:rPr>
            </w:pPr>
            <w:r w:rsidRPr="00EA2DCE">
              <w:rPr>
                <w:rFonts w:cs="Times New Roman"/>
              </w:rPr>
              <w:t>FDIC</w:t>
            </w:r>
          </w:p>
        </w:tc>
        <w:tc>
          <w:tcPr>
            <w:tcW w:w="1080" w:type="dxa"/>
            <w:shd w:val="clear" w:color="auto" w:fill="auto"/>
          </w:tcPr>
          <w:p w:rsidR="002B306C" w:rsidRPr="00EA2DCE" w:rsidRDefault="002B306C">
            <w:pPr>
              <w:rPr>
                <w:rFonts w:cs="Times New Roman"/>
              </w:rPr>
            </w:pPr>
            <w:r w:rsidRPr="00EA2DCE">
              <w:rPr>
                <w:rFonts w:cs="Times New Roman"/>
              </w:rPr>
              <w:t>3/28/18</w:t>
            </w:r>
          </w:p>
        </w:tc>
        <w:tc>
          <w:tcPr>
            <w:tcW w:w="2880" w:type="dxa"/>
            <w:shd w:val="clear" w:color="auto" w:fill="auto"/>
          </w:tcPr>
          <w:p w:rsidR="002B306C" w:rsidRPr="00EA2DCE" w:rsidRDefault="002B306C" w:rsidP="00BA4592">
            <w:pPr>
              <w:rPr>
                <w:rFonts w:cs="Times New Roman"/>
              </w:rPr>
            </w:pPr>
            <w:r w:rsidRPr="00EA2DCE">
              <w:rPr>
                <w:rFonts w:cs="Times New Roman"/>
              </w:rPr>
              <w:t>CMP: $1,135,250</w:t>
            </w:r>
          </w:p>
          <w:p w:rsidR="002B306C" w:rsidRPr="00EA2DCE" w:rsidRDefault="002B306C" w:rsidP="00BA4592">
            <w:pPr>
              <w:rPr>
                <w:rFonts w:cs="Times New Roman"/>
              </w:rPr>
            </w:pPr>
            <w:r w:rsidRPr="00EA2DCE">
              <w:rPr>
                <w:rFonts w:cs="Times New Roman"/>
              </w:rPr>
              <w:t>Restitution: $20,000</w:t>
            </w:r>
          </w:p>
        </w:tc>
      </w:tr>
      <w:tr w:rsidR="00025C70" w:rsidRPr="00EA2DCE" w:rsidTr="001B4468">
        <w:trPr>
          <w:cantSplit/>
          <w:trHeight w:val="238"/>
        </w:trPr>
        <w:tc>
          <w:tcPr>
            <w:tcW w:w="1620" w:type="dxa"/>
            <w:shd w:val="clear" w:color="auto" w:fill="auto"/>
          </w:tcPr>
          <w:p w:rsidR="00025C70" w:rsidRPr="00EA2DCE" w:rsidRDefault="00DE7A21">
            <w:pPr>
              <w:rPr>
                <w:rFonts w:cs="Times New Roman"/>
              </w:rPr>
            </w:pPr>
            <w:hyperlink r:id="rId39" w:history="1">
              <w:r w:rsidR="00860CFF" w:rsidRPr="00EA2DCE">
                <w:rPr>
                  <w:rStyle w:val="Hyperlink"/>
                  <w:rFonts w:cs="Times New Roman"/>
                </w:rPr>
                <w:t>Military Lending</w:t>
              </w:r>
            </w:hyperlink>
          </w:p>
        </w:tc>
        <w:tc>
          <w:tcPr>
            <w:tcW w:w="1890" w:type="dxa"/>
            <w:shd w:val="clear" w:color="auto" w:fill="auto"/>
          </w:tcPr>
          <w:p w:rsidR="00025C70" w:rsidRPr="00EA2DCE" w:rsidRDefault="00025C70" w:rsidP="00325F6F">
            <w:pPr>
              <w:rPr>
                <w:rFonts w:cs="Times New Roman"/>
              </w:rPr>
            </w:pPr>
            <w:r w:rsidRPr="00EA2DCE">
              <w:rPr>
                <w:rFonts w:cs="Times New Roman"/>
              </w:rPr>
              <w:t>California Auto Finance</w:t>
            </w:r>
          </w:p>
        </w:tc>
        <w:tc>
          <w:tcPr>
            <w:tcW w:w="4410" w:type="dxa"/>
            <w:shd w:val="clear" w:color="auto" w:fill="auto"/>
          </w:tcPr>
          <w:p w:rsidR="0018230A" w:rsidRPr="00EA2DCE" w:rsidRDefault="008F2671" w:rsidP="008F2671">
            <w:pPr>
              <w:pStyle w:val="ListParagraph"/>
              <w:numPr>
                <w:ilvl w:val="0"/>
                <w:numId w:val="6"/>
              </w:numPr>
              <w:rPr>
                <w:rFonts w:cs="Times New Roman"/>
              </w:rPr>
            </w:pPr>
            <w:proofErr w:type="spellStart"/>
            <w:r w:rsidRPr="00EA2DCE">
              <w:rPr>
                <w:rFonts w:cs="Times New Roman"/>
              </w:rPr>
              <w:t>Servicemember</w:t>
            </w:r>
            <w:proofErr w:type="spellEnd"/>
            <w:r w:rsidRPr="00EA2DCE">
              <w:rPr>
                <w:rFonts w:cs="Times New Roman"/>
              </w:rPr>
              <w:t xml:space="preserve"> notified California Auto Finance that she would be entering the military the following month.  Despite this advance notice, California Auto Finance repossessed </w:t>
            </w:r>
            <w:proofErr w:type="spellStart"/>
            <w:r w:rsidR="0018230A" w:rsidRPr="00EA2DCE">
              <w:rPr>
                <w:rFonts w:cs="Times New Roman"/>
              </w:rPr>
              <w:t>servicemember’s</w:t>
            </w:r>
            <w:proofErr w:type="spellEnd"/>
            <w:r w:rsidRPr="00EA2DCE">
              <w:rPr>
                <w:rFonts w:cs="Times New Roman"/>
              </w:rPr>
              <w:t xml:space="preserve"> vehicle without a court order</w:t>
            </w:r>
            <w:r w:rsidR="0018230A" w:rsidRPr="00EA2DCE">
              <w:rPr>
                <w:rFonts w:cs="Times New Roman"/>
              </w:rPr>
              <w:t xml:space="preserve"> on</w:t>
            </w:r>
            <w:r w:rsidRPr="00EA2DCE">
              <w:rPr>
                <w:rFonts w:cs="Times New Roman"/>
              </w:rPr>
              <w:t xml:space="preserve"> her first day of active military training.  </w:t>
            </w:r>
          </w:p>
          <w:p w:rsidR="00025C70" w:rsidRPr="00EA2DCE" w:rsidRDefault="0018230A" w:rsidP="0018230A">
            <w:pPr>
              <w:pStyle w:val="ListParagraph"/>
              <w:numPr>
                <w:ilvl w:val="0"/>
                <w:numId w:val="6"/>
              </w:numPr>
              <w:rPr>
                <w:rFonts w:cs="Times New Roman"/>
              </w:rPr>
            </w:pPr>
            <w:r w:rsidRPr="00EA2DCE">
              <w:rPr>
                <w:rFonts w:cs="Times New Roman"/>
              </w:rPr>
              <w:t>Alleges</w:t>
            </w:r>
            <w:r w:rsidR="008F2671" w:rsidRPr="00EA2DCE">
              <w:rPr>
                <w:rFonts w:cs="Times New Roman"/>
              </w:rPr>
              <w:t xml:space="preserve"> California Auto Finance had no process to determine customers’ military status – such as checking the Department of Defense’s publicly available database – prior to repossessing their cars.</w:t>
            </w:r>
          </w:p>
        </w:tc>
        <w:tc>
          <w:tcPr>
            <w:tcW w:w="1350" w:type="dxa"/>
            <w:shd w:val="clear" w:color="auto" w:fill="auto"/>
          </w:tcPr>
          <w:p w:rsidR="00025C70" w:rsidRPr="00EA2DCE" w:rsidRDefault="00025C70">
            <w:pPr>
              <w:rPr>
                <w:rFonts w:cs="Times New Roman"/>
              </w:rPr>
            </w:pPr>
            <w:r w:rsidRPr="00EA2DCE">
              <w:rPr>
                <w:rFonts w:cs="Times New Roman"/>
              </w:rPr>
              <w:t>Formal Complaint</w:t>
            </w:r>
          </w:p>
        </w:tc>
        <w:tc>
          <w:tcPr>
            <w:tcW w:w="1260" w:type="dxa"/>
            <w:shd w:val="clear" w:color="auto" w:fill="auto"/>
          </w:tcPr>
          <w:p w:rsidR="00025C70" w:rsidRPr="00EA2DCE" w:rsidRDefault="00025C70">
            <w:pPr>
              <w:rPr>
                <w:rFonts w:cs="Times New Roman"/>
              </w:rPr>
            </w:pPr>
            <w:r w:rsidRPr="00EA2DCE">
              <w:rPr>
                <w:rFonts w:cs="Times New Roman"/>
              </w:rPr>
              <w:t>DOJ</w:t>
            </w:r>
          </w:p>
        </w:tc>
        <w:tc>
          <w:tcPr>
            <w:tcW w:w="1080" w:type="dxa"/>
            <w:shd w:val="clear" w:color="auto" w:fill="auto"/>
          </w:tcPr>
          <w:p w:rsidR="00025C70" w:rsidRPr="00EA2DCE" w:rsidRDefault="00025C70">
            <w:pPr>
              <w:rPr>
                <w:rFonts w:cs="Times New Roman"/>
              </w:rPr>
            </w:pPr>
            <w:r w:rsidRPr="00EA2DCE">
              <w:rPr>
                <w:rFonts w:cs="Times New Roman"/>
              </w:rPr>
              <w:t>3/28/18</w:t>
            </w:r>
          </w:p>
        </w:tc>
        <w:tc>
          <w:tcPr>
            <w:tcW w:w="2880" w:type="dxa"/>
            <w:shd w:val="clear" w:color="auto" w:fill="auto"/>
          </w:tcPr>
          <w:p w:rsidR="005D2195" w:rsidRPr="00BF7A4B" w:rsidRDefault="005D2195" w:rsidP="005D2195">
            <w:pPr>
              <w:rPr>
                <w:rFonts w:cs="Times New Roman"/>
                <w:highlight w:val="yellow"/>
              </w:rPr>
            </w:pPr>
            <w:r w:rsidRPr="00BF7A4B">
              <w:rPr>
                <w:rFonts w:cs="Times New Roman"/>
                <w:highlight w:val="yellow"/>
              </w:rPr>
              <w:t xml:space="preserve">3/6/19 </w:t>
            </w:r>
          </w:p>
          <w:p w:rsidR="00025C70" w:rsidRPr="00BF7A4B" w:rsidRDefault="005D2195" w:rsidP="005D2195">
            <w:pPr>
              <w:rPr>
                <w:rFonts w:cs="Times New Roman"/>
                <w:highlight w:val="yellow"/>
              </w:rPr>
            </w:pPr>
            <w:r w:rsidRPr="00BF7A4B">
              <w:rPr>
                <w:rFonts w:cs="Times New Roman"/>
                <w:highlight w:val="yellow"/>
              </w:rPr>
              <w:t xml:space="preserve">California Auto Finance agreed to enter into a court-enforceable consent order to resolve allegations that it illegally repossessed two </w:t>
            </w:r>
            <w:proofErr w:type="spellStart"/>
            <w:r w:rsidRPr="00BF7A4B">
              <w:rPr>
                <w:rFonts w:cs="Times New Roman"/>
                <w:highlight w:val="yellow"/>
              </w:rPr>
              <w:t>servicemembers</w:t>
            </w:r>
            <w:proofErr w:type="spellEnd"/>
            <w:r w:rsidRPr="00BF7A4B">
              <w:rPr>
                <w:rFonts w:cs="Times New Roman"/>
                <w:highlight w:val="yellow"/>
              </w:rPr>
              <w:t>’ cars without court orders while they were on active duty.</w:t>
            </w:r>
          </w:p>
          <w:p w:rsidR="005D2195" w:rsidRPr="00BF7A4B" w:rsidRDefault="005D2195" w:rsidP="005D2195">
            <w:pPr>
              <w:rPr>
                <w:rFonts w:cs="Times New Roman"/>
                <w:highlight w:val="yellow"/>
              </w:rPr>
            </w:pPr>
          </w:p>
          <w:p w:rsidR="005D2195" w:rsidRPr="00BF7A4B" w:rsidRDefault="00DE7A21" w:rsidP="005D2195">
            <w:pPr>
              <w:rPr>
                <w:rFonts w:cs="Times New Roman"/>
                <w:highlight w:val="yellow"/>
              </w:rPr>
            </w:pPr>
            <w:hyperlink r:id="rId40" w:history="1">
              <w:r w:rsidR="005D2195" w:rsidRPr="00BF7A4B">
                <w:rPr>
                  <w:rStyle w:val="Hyperlink"/>
                  <w:rFonts w:cs="Times New Roman"/>
                  <w:highlight w:val="yellow"/>
                </w:rPr>
                <w:t>Proposed Consent Decree</w:t>
              </w:r>
            </w:hyperlink>
            <w:r w:rsidR="005D2195" w:rsidRPr="00BF7A4B">
              <w:rPr>
                <w:rFonts w:cs="Times New Roman"/>
                <w:highlight w:val="yellow"/>
              </w:rPr>
              <w:t>:</w:t>
            </w:r>
          </w:p>
          <w:p w:rsidR="005D2195" w:rsidRPr="00EA2DCE" w:rsidRDefault="005D2195" w:rsidP="005D2195">
            <w:pPr>
              <w:rPr>
                <w:rFonts w:cs="Times New Roman"/>
              </w:rPr>
            </w:pPr>
            <w:r w:rsidRPr="00BF7A4B">
              <w:rPr>
                <w:rFonts w:cs="Times New Roman"/>
                <w:highlight w:val="yellow"/>
              </w:rPr>
              <w:t xml:space="preserve">California Auto Finance would adopt new repossession policies, pay one </w:t>
            </w:r>
            <w:proofErr w:type="spellStart"/>
            <w:r w:rsidRPr="00BF7A4B">
              <w:rPr>
                <w:rFonts w:cs="Times New Roman"/>
                <w:highlight w:val="yellow"/>
              </w:rPr>
              <w:t>servicemember</w:t>
            </w:r>
            <w:proofErr w:type="spellEnd"/>
            <w:r w:rsidRPr="00BF7A4B">
              <w:rPr>
                <w:rFonts w:cs="Times New Roman"/>
                <w:highlight w:val="yellow"/>
              </w:rPr>
              <w:t xml:space="preserve"> $30,000, and pay a $50,000 civil penalty to the United States.</w:t>
            </w:r>
          </w:p>
        </w:tc>
      </w:tr>
      <w:tr w:rsidR="00325F6F" w:rsidRPr="00EA2DCE" w:rsidTr="001B4468">
        <w:trPr>
          <w:cantSplit/>
          <w:trHeight w:val="238"/>
        </w:trPr>
        <w:tc>
          <w:tcPr>
            <w:tcW w:w="1620" w:type="dxa"/>
            <w:shd w:val="clear" w:color="auto" w:fill="auto"/>
          </w:tcPr>
          <w:p w:rsidR="00325F6F" w:rsidRPr="00EA2DCE" w:rsidRDefault="00DE7A21">
            <w:pPr>
              <w:rPr>
                <w:rFonts w:cs="Times New Roman"/>
              </w:rPr>
            </w:pPr>
            <w:hyperlink r:id="rId41" w:history="1">
              <w:r w:rsidR="00325F6F" w:rsidRPr="00EA2DCE">
                <w:rPr>
                  <w:rStyle w:val="Hyperlink"/>
                  <w:rFonts w:cs="Times New Roman"/>
                </w:rPr>
                <w:t>Flood</w:t>
              </w:r>
            </w:hyperlink>
          </w:p>
        </w:tc>
        <w:tc>
          <w:tcPr>
            <w:tcW w:w="1890" w:type="dxa"/>
            <w:shd w:val="clear" w:color="auto" w:fill="auto"/>
          </w:tcPr>
          <w:p w:rsidR="00B36CD8" w:rsidRPr="00EA2DCE" w:rsidRDefault="00B36CD8" w:rsidP="00325F6F">
            <w:pPr>
              <w:rPr>
                <w:rFonts w:cs="Times New Roman"/>
              </w:rPr>
            </w:pPr>
            <w:r w:rsidRPr="00EA2DCE">
              <w:rPr>
                <w:rFonts w:cs="Times New Roman"/>
              </w:rPr>
              <w:t>Crest Savings Bank</w:t>
            </w:r>
          </w:p>
          <w:p w:rsidR="00325F6F" w:rsidRPr="00EA2DCE" w:rsidRDefault="00B36CD8" w:rsidP="00325F6F">
            <w:pPr>
              <w:rPr>
                <w:rFonts w:cs="Times New Roman"/>
              </w:rPr>
            </w:pPr>
            <w:r w:rsidRPr="00EA2DCE">
              <w:rPr>
                <w:rFonts w:cs="Times New Roman"/>
              </w:rPr>
              <w:t>(</w:t>
            </w:r>
            <w:r w:rsidR="00325F6F" w:rsidRPr="00EA2DCE">
              <w:rPr>
                <w:rFonts w:cs="Times New Roman"/>
              </w:rPr>
              <w:t>Wildwood, NJ</w:t>
            </w:r>
            <w:r w:rsidRPr="00EA2DCE">
              <w:rPr>
                <w:rFonts w:cs="Times New Roman"/>
              </w:rPr>
              <w:t>)</w:t>
            </w:r>
          </w:p>
        </w:tc>
        <w:tc>
          <w:tcPr>
            <w:tcW w:w="4410" w:type="dxa"/>
            <w:shd w:val="clear" w:color="auto" w:fill="auto"/>
          </w:tcPr>
          <w:p w:rsidR="00325F6F" w:rsidRPr="00EA2DCE" w:rsidRDefault="002B306C" w:rsidP="00724EA0">
            <w:pPr>
              <w:pStyle w:val="ListParagraph"/>
              <w:numPr>
                <w:ilvl w:val="0"/>
                <w:numId w:val="6"/>
              </w:numPr>
              <w:rPr>
                <w:rFonts w:cs="Times New Roman"/>
              </w:rPr>
            </w:pPr>
            <w:r w:rsidRPr="00EA2DCE">
              <w:rPr>
                <w:rFonts w:cs="Times New Roman"/>
              </w:rPr>
              <w:t>O</w:t>
            </w:r>
            <w:r w:rsidR="00325F6F" w:rsidRPr="00EA2DCE">
              <w:rPr>
                <w:rFonts w:cs="Times New Roman"/>
              </w:rPr>
              <w:t xml:space="preserve">n 9 occasions violated </w:t>
            </w:r>
            <w:r w:rsidRPr="00EA2DCE">
              <w:rPr>
                <w:rFonts w:cs="Times New Roman"/>
              </w:rPr>
              <w:t>requirement</w:t>
            </w:r>
            <w:r w:rsidR="00325F6F" w:rsidRPr="00EA2DCE">
              <w:rPr>
                <w:rFonts w:cs="Times New Roman"/>
              </w:rPr>
              <w:t xml:space="preserve"> that the building, mobile home, or personal property securing a designate</w:t>
            </w:r>
            <w:r w:rsidRPr="00EA2DCE">
              <w:rPr>
                <w:rFonts w:cs="Times New Roman"/>
              </w:rPr>
              <w:t>d loan be covered by flood insur</w:t>
            </w:r>
            <w:r w:rsidR="00325F6F" w:rsidRPr="00EA2DCE">
              <w:rPr>
                <w:rFonts w:cs="Times New Roman"/>
              </w:rPr>
              <w:t>ance for the</w:t>
            </w:r>
            <w:r w:rsidRPr="00EA2DCE">
              <w:rPr>
                <w:rFonts w:cs="Times New Roman"/>
              </w:rPr>
              <w:t xml:space="preserve"> </w:t>
            </w:r>
            <w:r w:rsidR="00325F6F" w:rsidRPr="00EA2DCE">
              <w:rPr>
                <w:rFonts w:cs="Times New Roman"/>
              </w:rPr>
              <w:t>term of the loan</w:t>
            </w:r>
            <w:r w:rsidRPr="00EA2DCE">
              <w:rPr>
                <w:rFonts w:cs="Times New Roman"/>
              </w:rPr>
              <w:t>;</w:t>
            </w:r>
          </w:p>
          <w:p w:rsidR="00325F6F" w:rsidRPr="00EA2DCE" w:rsidRDefault="002B306C" w:rsidP="002B306C">
            <w:pPr>
              <w:pStyle w:val="ListParagraph"/>
              <w:numPr>
                <w:ilvl w:val="0"/>
                <w:numId w:val="6"/>
              </w:numPr>
              <w:rPr>
                <w:rFonts w:cs="Times New Roman"/>
              </w:rPr>
            </w:pPr>
            <w:r w:rsidRPr="00EA2DCE">
              <w:rPr>
                <w:rFonts w:cs="Times New Roman"/>
              </w:rPr>
              <w:t>O</w:t>
            </w:r>
            <w:r w:rsidR="00325F6F" w:rsidRPr="00EA2DCE">
              <w:rPr>
                <w:rFonts w:cs="Times New Roman"/>
              </w:rPr>
              <w:t xml:space="preserve">n 14 occasions violated </w:t>
            </w:r>
            <w:r w:rsidRPr="00EA2DCE">
              <w:rPr>
                <w:rFonts w:cs="Times New Roman"/>
              </w:rPr>
              <w:t>requirement that if at any time during the term</w:t>
            </w:r>
            <w:r w:rsidR="00325F6F" w:rsidRPr="00EA2DCE">
              <w:rPr>
                <w:rFonts w:cs="Times New Roman"/>
              </w:rPr>
              <w:t xml:space="preserve"> of the loan the building or mobile home is not covered by flood insurance the bank or its servicer must n</w:t>
            </w:r>
            <w:r w:rsidRPr="00EA2DCE">
              <w:rPr>
                <w:rFonts w:cs="Times New Roman"/>
              </w:rPr>
              <w:t>otify the borrower that the borrower</w:t>
            </w:r>
            <w:r w:rsidR="00325F6F" w:rsidRPr="00EA2DCE">
              <w:rPr>
                <w:rFonts w:cs="Times New Roman"/>
              </w:rPr>
              <w:t xml:space="preserve"> should obtain, at the borrower's expense, flood insurance that meets such requirements for the remaining term of the loan and, if the borrower fails to obtai</w:t>
            </w:r>
            <w:r w:rsidRPr="00EA2DCE">
              <w:rPr>
                <w:rFonts w:cs="Times New Roman"/>
              </w:rPr>
              <w:t>n such flood insurance within 4</w:t>
            </w:r>
            <w:r w:rsidR="00325F6F" w:rsidRPr="00EA2DCE">
              <w:rPr>
                <w:rFonts w:cs="Times New Roman"/>
              </w:rPr>
              <w:t>5 days after notification, the bank or its servicer must pur</w:t>
            </w:r>
            <w:r w:rsidRPr="00EA2DCE">
              <w:rPr>
                <w:rFonts w:cs="Times New Roman"/>
              </w:rPr>
              <w:t>chase such insurance on the borr</w:t>
            </w:r>
            <w:r w:rsidR="00325F6F" w:rsidRPr="00EA2DCE">
              <w:rPr>
                <w:rFonts w:cs="Times New Roman"/>
              </w:rPr>
              <w:t>ower's behalf.</w:t>
            </w:r>
          </w:p>
        </w:tc>
        <w:tc>
          <w:tcPr>
            <w:tcW w:w="1350" w:type="dxa"/>
            <w:shd w:val="clear" w:color="auto" w:fill="auto"/>
          </w:tcPr>
          <w:p w:rsidR="00325F6F" w:rsidRPr="00EA2DCE" w:rsidRDefault="00325F6F">
            <w:pPr>
              <w:rPr>
                <w:rFonts w:cs="Times New Roman"/>
              </w:rPr>
            </w:pPr>
            <w:r w:rsidRPr="00EA2DCE">
              <w:rPr>
                <w:rFonts w:cs="Times New Roman"/>
              </w:rPr>
              <w:t>CMP</w:t>
            </w:r>
          </w:p>
        </w:tc>
        <w:tc>
          <w:tcPr>
            <w:tcW w:w="1260" w:type="dxa"/>
            <w:shd w:val="clear" w:color="auto" w:fill="auto"/>
          </w:tcPr>
          <w:p w:rsidR="00325F6F" w:rsidRPr="00EA2DCE" w:rsidRDefault="00325F6F">
            <w:pPr>
              <w:rPr>
                <w:rFonts w:cs="Times New Roman"/>
              </w:rPr>
            </w:pPr>
            <w:r w:rsidRPr="00EA2DCE">
              <w:rPr>
                <w:rFonts w:cs="Times New Roman"/>
              </w:rPr>
              <w:t>FDIC</w:t>
            </w:r>
          </w:p>
        </w:tc>
        <w:tc>
          <w:tcPr>
            <w:tcW w:w="1080" w:type="dxa"/>
            <w:shd w:val="clear" w:color="auto" w:fill="auto"/>
          </w:tcPr>
          <w:p w:rsidR="00325F6F" w:rsidRPr="00EA2DCE" w:rsidRDefault="00325F6F">
            <w:pPr>
              <w:rPr>
                <w:rFonts w:cs="Times New Roman"/>
              </w:rPr>
            </w:pPr>
            <w:r w:rsidRPr="00EA2DCE">
              <w:rPr>
                <w:rFonts w:cs="Times New Roman"/>
              </w:rPr>
              <w:t>3/19/18</w:t>
            </w:r>
          </w:p>
        </w:tc>
        <w:tc>
          <w:tcPr>
            <w:tcW w:w="2880" w:type="dxa"/>
            <w:shd w:val="clear" w:color="auto" w:fill="auto"/>
          </w:tcPr>
          <w:p w:rsidR="00325F6F" w:rsidRPr="00EA2DCE" w:rsidRDefault="00325F6F" w:rsidP="00BA4592">
            <w:pPr>
              <w:rPr>
                <w:rFonts w:cs="Times New Roman"/>
              </w:rPr>
            </w:pPr>
            <w:r w:rsidRPr="00EA2DCE">
              <w:rPr>
                <w:rFonts w:cs="Times New Roman"/>
              </w:rPr>
              <w:t>CMP: $10,000</w:t>
            </w:r>
          </w:p>
        </w:tc>
      </w:tr>
      <w:tr w:rsidR="00CC7A85" w:rsidRPr="00EA2DCE" w:rsidTr="001B4468">
        <w:trPr>
          <w:cantSplit/>
          <w:trHeight w:val="238"/>
        </w:trPr>
        <w:tc>
          <w:tcPr>
            <w:tcW w:w="1620" w:type="dxa"/>
            <w:shd w:val="clear" w:color="auto" w:fill="auto"/>
          </w:tcPr>
          <w:p w:rsidR="00CC7A85" w:rsidRPr="00EA2DCE" w:rsidRDefault="00DE7A21">
            <w:pPr>
              <w:rPr>
                <w:rFonts w:cs="Times New Roman"/>
              </w:rPr>
            </w:pPr>
            <w:hyperlink r:id="rId42" w:history="1">
              <w:r w:rsidR="00CC7A85" w:rsidRPr="00EA2DCE">
                <w:rPr>
                  <w:rStyle w:val="Hyperlink"/>
                  <w:rFonts w:cs="Times New Roman"/>
                </w:rPr>
                <w:t>Flood</w:t>
              </w:r>
            </w:hyperlink>
          </w:p>
        </w:tc>
        <w:tc>
          <w:tcPr>
            <w:tcW w:w="1890" w:type="dxa"/>
            <w:shd w:val="clear" w:color="auto" w:fill="auto"/>
          </w:tcPr>
          <w:p w:rsidR="00CC7A85" w:rsidRPr="00EA2DCE" w:rsidRDefault="00CC7A85">
            <w:pPr>
              <w:rPr>
                <w:rFonts w:cs="Times New Roman"/>
              </w:rPr>
            </w:pPr>
            <w:r w:rsidRPr="00EA2DCE">
              <w:rPr>
                <w:rFonts w:cs="Times New Roman"/>
              </w:rPr>
              <w:t>Monroe Bank and Trust</w:t>
            </w:r>
          </w:p>
          <w:p w:rsidR="00CC7A85" w:rsidRPr="00EA2DCE" w:rsidRDefault="00B36CD8">
            <w:pPr>
              <w:rPr>
                <w:rFonts w:cs="Times New Roman"/>
              </w:rPr>
            </w:pPr>
            <w:r w:rsidRPr="00EA2DCE">
              <w:rPr>
                <w:rFonts w:cs="Times New Roman"/>
              </w:rPr>
              <w:t>(</w:t>
            </w:r>
            <w:r w:rsidR="00CC7A85" w:rsidRPr="00EA2DCE">
              <w:rPr>
                <w:rFonts w:cs="Times New Roman"/>
              </w:rPr>
              <w:t>Monroe, MI</w:t>
            </w:r>
            <w:r w:rsidRPr="00EA2DCE">
              <w:rPr>
                <w:rFonts w:cs="Times New Roman"/>
              </w:rPr>
              <w:t>)</w:t>
            </w:r>
          </w:p>
        </w:tc>
        <w:tc>
          <w:tcPr>
            <w:tcW w:w="4410" w:type="dxa"/>
            <w:shd w:val="clear" w:color="auto" w:fill="auto"/>
          </w:tcPr>
          <w:p w:rsidR="00CC7A85" w:rsidRPr="00EA2DCE" w:rsidRDefault="00325F6F" w:rsidP="00724EA0">
            <w:pPr>
              <w:pStyle w:val="ListParagraph"/>
              <w:numPr>
                <w:ilvl w:val="0"/>
                <w:numId w:val="6"/>
              </w:numPr>
              <w:rPr>
                <w:rFonts w:cs="Times New Roman"/>
              </w:rPr>
            </w:pPr>
            <w:r w:rsidRPr="00EA2DCE">
              <w:rPr>
                <w:rFonts w:cs="Times New Roman"/>
              </w:rPr>
              <w:t>F</w:t>
            </w:r>
            <w:r w:rsidR="00CC7A85" w:rsidRPr="00EA2DCE">
              <w:rPr>
                <w:rFonts w:cs="Times New Roman"/>
              </w:rPr>
              <w:t>ailing to obtain flood insurance on a building securing a designated loan at the time of the origination of two (2) loans;</w:t>
            </w:r>
          </w:p>
          <w:p w:rsidR="00CC7A85" w:rsidRPr="00EA2DCE" w:rsidRDefault="00325F6F" w:rsidP="00724EA0">
            <w:pPr>
              <w:pStyle w:val="ListParagraph"/>
              <w:numPr>
                <w:ilvl w:val="0"/>
                <w:numId w:val="6"/>
              </w:numPr>
              <w:rPr>
                <w:rFonts w:cs="Times New Roman"/>
              </w:rPr>
            </w:pPr>
            <w:r w:rsidRPr="00EA2DCE">
              <w:rPr>
                <w:rFonts w:cs="Times New Roman"/>
              </w:rPr>
              <w:t>F</w:t>
            </w:r>
            <w:r w:rsidR="00CC7A85" w:rsidRPr="00EA2DCE">
              <w:rPr>
                <w:rFonts w:cs="Times New Roman"/>
              </w:rPr>
              <w:t>ailing to obtain adequate flood insurance for twenty two (22) loans;</w:t>
            </w:r>
          </w:p>
          <w:p w:rsidR="00CC7A85" w:rsidRPr="00EA2DCE" w:rsidRDefault="00325F6F" w:rsidP="00724EA0">
            <w:pPr>
              <w:pStyle w:val="ListParagraph"/>
              <w:numPr>
                <w:ilvl w:val="0"/>
                <w:numId w:val="6"/>
              </w:numPr>
              <w:rPr>
                <w:rFonts w:cs="Times New Roman"/>
              </w:rPr>
            </w:pPr>
            <w:r w:rsidRPr="00EA2DCE">
              <w:rPr>
                <w:rFonts w:cs="Times New Roman"/>
              </w:rPr>
              <w:t>F</w:t>
            </w:r>
            <w:r w:rsidR="00CC7A85" w:rsidRPr="00EA2DCE">
              <w:rPr>
                <w:rFonts w:cs="Times New Roman"/>
              </w:rPr>
              <w:t>ailing to maintain flood insurance for two (2) loans;</w:t>
            </w:r>
          </w:p>
          <w:p w:rsidR="00CC7A85" w:rsidRPr="00EA2DCE" w:rsidRDefault="00325F6F" w:rsidP="00724EA0">
            <w:pPr>
              <w:pStyle w:val="ListParagraph"/>
              <w:numPr>
                <w:ilvl w:val="0"/>
                <w:numId w:val="6"/>
              </w:numPr>
              <w:rPr>
                <w:rFonts w:cs="Times New Roman"/>
              </w:rPr>
            </w:pPr>
            <w:r w:rsidRPr="00EA2DCE">
              <w:rPr>
                <w:rFonts w:cs="Times New Roman"/>
              </w:rPr>
              <w:t>F</w:t>
            </w:r>
            <w:r w:rsidR="00CC7A85" w:rsidRPr="00EA2DCE">
              <w:rPr>
                <w:rFonts w:cs="Times New Roman"/>
              </w:rPr>
              <w:t>ailing to follow force placement flood insurance procedures for thirteen (13) loans.</w:t>
            </w:r>
          </w:p>
        </w:tc>
        <w:tc>
          <w:tcPr>
            <w:tcW w:w="1350" w:type="dxa"/>
            <w:shd w:val="clear" w:color="auto" w:fill="auto"/>
          </w:tcPr>
          <w:p w:rsidR="00CC7A85" w:rsidRPr="00EA2DCE" w:rsidRDefault="00CC7A85">
            <w:pPr>
              <w:rPr>
                <w:rFonts w:cs="Times New Roman"/>
              </w:rPr>
            </w:pPr>
            <w:r w:rsidRPr="00EA2DCE">
              <w:rPr>
                <w:rFonts w:cs="Times New Roman"/>
              </w:rPr>
              <w:t>CMP</w:t>
            </w:r>
          </w:p>
        </w:tc>
        <w:tc>
          <w:tcPr>
            <w:tcW w:w="1260" w:type="dxa"/>
            <w:shd w:val="clear" w:color="auto" w:fill="auto"/>
          </w:tcPr>
          <w:p w:rsidR="00CC7A85" w:rsidRPr="00EA2DCE" w:rsidRDefault="00CC7A85">
            <w:pPr>
              <w:rPr>
                <w:rFonts w:cs="Times New Roman"/>
              </w:rPr>
            </w:pPr>
            <w:r w:rsidRPr="00EA2DCE">
              <w:rPr>
                <w:rFonts w:cs="Times New Roman"/>
              </w:rPr>
              <w:t>FDIC</w:t>
            </w:r>
          </w:p>
        </w:tc>
        <w:tc>
          <w:tcPr>
            <w:tcW w:w="1080" w:type="dxa"/>
            <w:shd w:val="clear" w:color="auto" w:fill="auto"/>
          </w:tcPr>
          <w:p w:rsidR="00CC7A85" w:rsidRPr="00EA2DCE" w:rsidRDefault="00CC7A85">
            <w:pPr>
              <w:rPr>
                <w:rFonts w:cs="Times New Roman"/>
              </w:rPr>
            </w:pPr>
            <w:r w:rsidRPr="00EA2DCE">
              <w:rPr>
                <w:rFonts w:cs="Times New Roman"/>
              </w:rPr>
              <w:t>3/9/18</w:t>
            </w:r>
          </w:p>
        </w:tc>
        <w:tc>
          <w:tcPr>
            <w:tcW w:w="2880" w:type="dxa"/>
            <w:shd w:val="clear" w:color="auto" w:fill="auto"/>
          </w:tcPr>
          <w:p w:rsidR="00CC7A85" w:rsidRPr="00EA2DCE" w:rsidRDefault="00CC7A85" w:rsidP="00BA4592">
            <w:pPr>
              <w:rPr>
                <w:rFonts w:cs="Times New Roman"/>
              </w:rPr>
            </w:pPr>
            <w:r w:rsidRPr="00EA2DCE">
              <w:rPr>
                <w:rFonts w:cs="Times New Roman"/>
              </w:rPr>
              <w:t>CMP: $46,800</w:t>
            </w:r>
          </w:p>
        </w:tc>
      </w:tr>
      <w:tr w:rsidR="005D4D86" w:rsidRPr="00EA2DCE" w:rsidTr="001B4468">
        <w:trPr>
          <w:cantSplit/>
          <w:trHeight w:val="238"/>
        </w:trPr>
        <w:tc>
          <w:tcPr>
            <w:tcW w:w="1620" w:type="dxa"/>
            <w:shd w:val="clear" w:color="auto" w:fill="auto"/>
          </w:tcPr>
          <w:p w:rsidR="005D4D86" w:rsidRPr="00EA2DCE" w:rsidRDefault="00DE7A21">
            <w:pPr>
              <w:rPr>
                <w:rFonts w:cs="Times New Roman"/>
              </w:rPr>
            </w:pPr>
            <w:hyperlink r:id="rId43" w:history="1">
              <w:r w:rsidR="00860CFF" w:rsidRPr="00EA2DCE">
                <w:rPr>
                  <w:rStyle w:val="Hyperlink"/>
                  <w:rFonts w:cs="Times New Roman"/>
                </w:rPr>
                <w:t>Military Lending</w:t>
              </w:r>
            </w:hyperlink>
          </w:p>
        </w:tc>
        <w:tc>
          <w:tcPr>
            <w:tcW w:w="1890" w:type="dxa"/>
            <w:shd w:val="clear" w:color="auto" w:fill="auto"/>
          </w:tcPr>
          <w:p w:rsidR="005D4D86" w:rsidRPr="00EA2DCE" w:rsidRDefault="005D4D86">
            <w:pPr>
              <w:rPr>
                <w:rFonts w:cs="Times New Roman"/>
              </w:rPr>
            </w:pPr>
            <w:r w:rsidRPr="00EA2DCE">
              <w:rPr>
                <w:rFonts w:cs="Times New Roman"/>
              </w:rPr>
              <w:t>BMW Financial Services</w:t>
            </w:r>
          </w:p>
        </w:tc>
        <w:tc>
          <w:tcPr>
            <w:tcW w:w="4410" w:type="dxa"/>
            <w:shd w:val="clear" w:color="auto" w:fill="auto"/>
          </w:tcPr>
          <w:p w:rsidR="00860CFF" w:rsidRPr="00EA2DCE" w:rsidRDefault="00860CFF" w:rsidP="00860CFF">
            <w:pPr>
              <w:pStyle w:val="ListParagraph"/>
              <w:numPr>
                <w:ilvl w:val="0"/>
                <w:numId w:val="8"/>
              </w:numPr>
              <w:rPr>
                <w:rFonts w:cs="Times New Roman"/>
              </w:rPr>
            </w:pPr>
            <w:r w:rsidRPr="00EA2DCE">
              <w:rPr>
                <w:rFonts w:cs="Times New Roman"/>
              </w:rPr>
              <w:t xml:space="preserve">Individuals who lease vehicles from BMW FS, including </w:t>
            </w:r>
            <w:proofErr w:type="spellStart"/>
            <w:r w:rsidRPr="00EA2DCE">
              <w:rPr>
                <w:rFonts w:cs="Times New Roman"/>
              </w:rPr>
              <w:t>servicemembers</w:t>
            </w:r>
            <w:proofErr w:type="spellEnd"/>
            <w:r w:rsidRPr="00EA2DCE">
              <w:rPr>
                <w:rFonts w:cs="Times New Roman"/>
              </w:rPr>
              <w:t>, often contribute an up-front monetary amount at lease signing, in the form of a cash payment, credit for a trade-in vehicle, or rebates or other credits.  A portion of this up-front amount can be applied to the first month of the lease and certain up-front costs such as licensing and registration fees.  The remainder, which is called the capitalized cost reduction (CCR) amount, operates to reduce the monthly payment the lessee must make over the term of the lease.</w:t>
            </w:r>
          </w:p>
          <w:p w:rsidR="005D4D86" w:rsidRPr="00EA2DCE" w:rsidRDefault="005D4D86" w:rsidP="005D4D86">
            <w:pPr>
              <w:pStyle w:val="ListParagraph"/>
              <w:numPr>
                <w:ilvl w:val="0"/>
                <w:numId w:val="8"/>
              </w:numPr>
              <w:rPr>
                <w:rFonts w:cs="Times New Roman"/>
              </w:rPr>
            </w:pPr>
            <w:r w:rsidRPr="00EA2DCE">
              <w:rPr>
                <w:rFonts w:cs="Times New Roman"/>
              </w:rPr>
              <w:t xml:space="preserve">The Department’s investigation revealed that BMW FS had failed to refund any portion of the pre-paid CCR amounts to 492 </w:t>
            </w:r>
            <w:proofErr w:type="spellStart"/>
            <w:r w:rsidRPr="00EA2DCE">
              <w:rPr>
                <w:rFonts w:cs="Times New Roman"/>
              </w:rPr>
              <w:t>servicemembers</w:t>
            </w:r>
            <w:proofErr w:type="spellEnd"/>
            <w:r w:rsidRPr="00EA2DCE">
              <w:rPr>
                <w:rFonts w:cs="Times New Roman"/>
              </w:rPr>
              <w:t xml:space="preserve"> who had lawfully terminated their auto leases.</w:t>
            </w:r>
          </w:p>
        </w:tc>
        <w:tc>
          <w:tcPr>
            <w:tcW w:w="1350" w:type="dxa"/>
            <w:shd w:val="clear" w:color="auto" w:fill="auto"/>
          </w:tcPr>
          <w:p w:rsidR="005D4D86" w:rsidRPr="00EA2DCE" w:rsidRDefault="005D4D86">
            <w:pPr>
              <w:rPr>
                <w:rFonts w:cs="Times New Roman"/>
              </w:rPr>
            </w:pPr>
            <w:r w:rsidRPr="00EA2DCE">
              <w:rPr>
                <w:rFonts w:cs="Times New Roman"/>
              </w:rPr>
              <w:t>Settlement</w:t>
            </w:r>
          </w:p>
        </w:tc>
        <w:tc>
          <w:tcPr>
            <w:tcW w:w="1260" w:type="dxa"/>
            <w:shd w:val="clear" w:color="auto" w:fill="auto"/>
          </w:tcPr>
          <w:p w:rsidR="005D4D86" w:rsidRPr="00EA2DCE" w:rsidRDefault="005D4D86">
            <w:pPr>
              <w:rPr>
                <w:rFonts w:cs="Times New Roman"/>
              </w:rPr>
            </w:pPr>
            <w:r w:rsidRPr="00EA2DCE">
              <w:rPr>
                <w:rFonts w:cs="Times New Roman"/>
              </w:rPr>
              <w:t>DOJ</w:t>
            </w:r>
          </w:p>
        </w:tc>
        <w:tc>
          <w:tcPr>
            <w:tcW w:w="1080" w:type="dxa"/>
            <w:shd w:val="clear" w:color="auto" w:fill="auto"/>
          </w:tcPr>
          <w:p w:rsidR="005D4D86" w:rsidRPr="00EA2DCE" w:rsidRDefault="005D4D86">
            <w:pPr>
              <w:rPr>
                <w:rFonts w:cs="Times New Roman"/>
              </w:rPr>
            </w:pPr>
            <w:r w:rsidRPr="00EA2DCE">
              <w:rPr>
                <w:rFonts w:cs="Times New Roman"/>
              </w:rPr>
              <w:t>2/22/18</w:t>
            </w:r>
          </w:p>
        </w:tc>
        <w:tc>
          <w:tcPr>
            <w:tcW w:w="2880" w:type="dxa"/>
            <w:shd w:val="clear" w:color="auto" w:fill="auto"/>
          </w:tcPr>
          <w:p w:rsidR="005D4D86" w:rsidRPr="00EA2DCE" w:rsidRDefault="005D4D86" w:rsidP="005D4D86">
            <w:pPr>
              <w:pStyle w:val="ListParagraph"/>
              <w:numPr>
                <w:ilvl w:val="0"/>
                <w:numId w:val="6"/>
              </w:numPr>
              <w:rPr>
                <w:rFonts w:cs="Times New Roman"/>
              </w:rPr>
            </w:pPr>
            <w:r w:rsidRPr="00EA2DCE">
              <w:rPr>
                <w:rFonts w:cs="Times New Roman"/>
              </w:rPr>
              <w:t xml:space="preserve">Requires refund to each </w:t>
            </w:r>
            <w:proofErr w:type="spellStart"/>
            <w:r w:rsidRPr="00EA2DCE">
              <w:rPr>
                <w:rFonts w:cs="Times New Roman"/>
              </w:rPr>
              <w:t>servicemember</w:t>
            </w:r>
            <w:proofErr w:type="spellEnd"/>
            <w:r w:rsidRPr="00EA2DCE">
              <w:rPr>
                <w:rFonts w:cs="Times New Roman"/>
              </w:rPr>
              <w:t xml:space="preserve"> portions of the pre-paid CCR amount based on how many days were remaining in the lease.  </w:t>
            </w:r>
          </w:p>
          <w:p w:rsidR="005D4D86" w:rsidRPr="00EA2DCE" w:rsidRDefault="005D4D86" w:rsidP="005D4D86">
            <w:pPr>
              <w:pStyle w:val="ListParagraph"/>
              <w:numPr>
                <w:ilvl w:val="0"/>
                <w:numId w:val="6"/>
              </w:numPr>
              <w:rPr>
                <w:rFonts w:cs="Times New Roman"/>
              </w:rPr>
            </w:pPr>
            <w:r w:rsidRPr="00EA2DCE">
              <w:rPr>
                <w:rFonts w:cs="Times New Roman"/>
              </w:rPr>
              <w:t xml:space="preserve">Pay indirect damages to each </w:t>
            </w:r>
            <w:proofErr w:type="spellStart"/>
            <w:r w:rsidRPr="00EA2DCE">
              <w:rPr>
                <w:rFonts w:cs="Times New Roman"/>
              </w:rPr>
              <w:t>servicemember</w:t>
            </w:r>
            <w:proofErr w:type="spellEnd"/>
            <w:r w:rsidRPr="00EA2DCE">
              <w:rPr>
                <w:rFonts w:cs="Times New Roman"/>
              </w:rPr>
              <w:t xml:space="preserve"> of three times the refund or $500, whichever is larger. </w:t>
            </w:r>
          </w:p>
          <w:p w:rsidR="005D4D86" w:rsidRPr="00EA2DCE" w:rsidRDefault="005D4D86" w:rsidP="005D4D86">
            <w:pPr>
              <w:pStyle w:val="ListParagraph"/>
              <w:numPr>
                <w:ilvl w:val="0"/>
                <w:numId w:val="6"/>
              </w:numPr>
              <w:rPr>
                <w:rFonts w:cs="Times New Roman"/>
              </w:rPr>
            </w:pPr>
            <w:r w:rsidRPr="00EA2DCE">
              <w:rPr>
                <w:rFonts w:cs="Times New Roman"/>
              </w:rPr>
              <w:t xml:space="preserve">Deposit $2,165,518.84 into an escrow account to compensate the 492 </w:t>
            </w:r>
            <w:proofErr w:type="spellStart"/>
            <w:r w:rsidRPr="00EA2DCE">
              <w:rPr>
                <w:rFonts w:cs="Times New Roman"/>
              </w:rPr>
              <w:t>servicemembers</w:t>
            </w:r>
            <w:proofErr w:type="spellEnd"/>
            <w:r w:rsidRPr="00EA2DCE">
              <w:rPr>
                <w:rFonts w:cs="Times New Roman"/>
              </w:rPr>
              <w:t xml:space="preserve"> whose rights were violated under the SCRA. </w:t>
            </w:r>
          </w:p>
          <w:p w:rsidR="005D4D86" w:rsidRPr="00EA2DCE" w:rsidRDefault="005D4D86" w:rsidP="005D4D86">
            <w:pPr>
              <w:pStyle w:val="ListParagraph"/>
              <w:numPr>
                <w:ilvl w:val="0"/>
                <w:numId w:val="6"/>
              </w:numPr>
              <w:rPr>
                <w:rFonts w:cs="Times New Roman"/>
              </w:rPr>
            </w:pPr>
            <w:r w:rsidRPr="00EA2DCE">
              <w:rPr>
                <w:rFonts w:cs="Times New Roman"/>
              </w:rPr>
              <w:t>Pay $60,788 to the United States Treasury.</w:t>
            </w:r>
          </w:p>
          <w:p w:rsidR="005D4D86" w:rsidRPr="00EA2DCE" w:rsidRDefault="005D4D86" w:rsidP="005D4D86">
            <w:pPr>
              <w:pStyle w:val="ListParagraph"/>
              <w:numPr>
                <w:ilvl w:val="0"/>
                <w:numId w:val="6"/>
              </w:numPr>
              <w:rPr>
                <w:rFonts w:cs="Times New Roman"/>
              </w:rPr>
            </w:pPr>
            <w:r w:rsidRPr="00EA2DCE">
              <w:rPr>
                <w:rFonts w:cs="Times New Roman"/>
              </w:rPr>
              <w:t xml:space="preserve">Revise policies and procedures to ensure that </w:t>
            </w:r>
            <w:proofErr w:type="spellStart"/>
            <w:r w:rsidRPr="00EA2DCE">
              <w:rPr>
                <w:rFonts w:cs="Times New Roman"/>
              </w:rPr>
              <w:t>servicemembers</w:t>
            </w:r>
            <w:proofErr w:type="spellEnd"/>
            <w:r w:rsidRPr="00EA2DCE">
              <w:rPr>
                <w:rFonts w:cs="Times New Roman"/>
              </w:rPr>
              <w:t xml:space="preserve"> who terminate their auto leases early receive a full refund of all eligible pre-paid CCR amounts.</w:t>
            </w:r>
          </w:p>
        </w:tc>
      </w:tr>
      <w:tr w:rsidR="00C77E9E" w:rsidRPr="00EA2DCE" w:rsidTr="001B4468">
        <w:trPr>
          <w:cantSplit/>
          <w:trHeight w:val="238"/>
        </w:trPr>
        <w:tc>
          <w:tcPr>
            <w:tcW w:w="1620" w:type="dxa"/>
            <w:shd w:val="clear" w:color="auto" w:fill="auto"/>
          </w:tcPr>
          <w:p w:rsidR="00C77E9E" w:rsidRPr="00EA2DCE" w:rsidRDefault="00DE7A21">
            <w:hyperlink r:id="rId44" w:history="1">
              <w:r w:rsidR="00C77E9E" w:rsidRPr="00EA2DCE">
                <w:rPr>
                  <w:rStyle w:val="Hyperlink"/>
                </w:rPr>
                <w:t>Flood</w:t>
              </w:r>
            </w:hyperlink>
          </w:p>
        </w:tc>
        <w:tc>
          <w:tcPr>
            <w:tcW w:w="1890" w:type="dxa"/>
            <w:shd w:val="clear" w:color="auto" w:fill="auto"/>
          </w:tcPr>
          <w:p w:rsidR="00C77E9E" w:rsidRPr="00EA2DCE" w:rsidRDefault="00C77E9E">
            <w:r w:rsidRPr="00EA2DCE">
              <w:t xml:space="preserve">Clear Mountain Bank </w:t>
            </w:r>
          </w:p>
          <w:p w:rsidR="00C77E9E" w:rsidRPr="00EA2DCE" w:rsidRDefault="00C77E9E">
            <w:r w:rsidRPr="00EA2DCE">
              <w:t>(Bruceton Mills, WV)</w:t>
            </w:r>
          </w:p>
        </w:tc>
        <w:tc>
          <w:tcPr>
            <w:tcW w:w="4410" w:type="dxa"/>
            <w:shd w:val="clear" w:color="auto" w:fill="auto"/>
          </w:tcPr>
          <w:p w:rsidR="00C77E9E" w:rsidRPr="00EA2DCE" w:rsidRDefault="00C77E9E" w:rsidP="00724EA0">
            <w:pPr>
              <w:pStyle w:val="ListParagraph"/>
              <w:numPr>
                <w:ilvl w:val="0"/>
                <w:numId w:val="6"/>
              </w:numPr>
            </w:pPr>
            <w:r w:rsidRPr="00EA2DCE">
              <w:t>Pattern or practice of violations of Regulation H, 12 C.F.R. § 208.25, that implements the requirements of the Flood Disaster Protection Act.</w:t>
            </w:r>
          </w:p>
        </w:tc>
        <w:tc>
          <w:tcPr>
            <w:tcW w:w="1350" w:type="dxa"/>
            <w:shd w:val="clear" w:color="auto" w:fill="auto"/>
          </w:tcPr>
          <w:p w:rsidR="00C77E9E" w:rsidRPr="00EA2DCE" w:rsidRDefault="00C77E9E">
            <w:r w:rsidRPr="00EA2DCE">
              <w:t>CMP</w:t>
            </w:r>
          </w:p>
        </w:tc>
        <w:tc>
          <w:tcPr>
            <w:tcW w:w="1260" w:type="dxa"/>
            <w:shd w:val="clear" w:color="auto" w:fill="auto"/>
          </w:tcPr>
          <w:p w:rsidR="00C77E9E" w:rsidRPr="00EA2DCE" w:rsidRDefault="00C77E9E">
            <w:r w:rsidRPr="00EA2DCE">
              <w:t>FRB</w:t>
            </w:r>
          </w:p>
        </w:tc>
        <w:tc>
          <w:tcPr>
            <w:tcW w:w="1080" w:type="dxa"/>
            <w:shd w:val="clear" w:color="auto" w:fill="auto"/>
          </w:tcPr>
          <w:p w:rsidR="00C77E9E" w:rsidRPr="00EA2DCE" w:rsidRDefault="00C77E9E">
            <w:r w:rsidRPr="00EA2DCE">
              <w:t>2/12/18</w:t>
            </w:r>
          </w:p>
        </w:tc>
        <w:tc>
          <w:tcPr>
            <w:tcW w:w="2880" w:type="dxa"/>
            <w:shd w:val="clear" w:color="auto" w:fill="auto"/>
          </w:tcPr>
          <w:p w:rsidR="00C77E9E" w:rsidRPr="00EA2DCE" w:rsidRDefault="00C77E9E" w:rsidP="00BA4592">
            <w:r w:rsidRPr="00EA2DCE">
              <w:t>CMP: $14,000</w:t>
            </w:r>
          </w:p>
        </w:tc>
      </w:tr>
      <w:tr w:rsidR="00C77E9E" w:rsidRPr="00EA2DCE" w:rsidTr="00CC7A85">
        <w:trPr>
          <w:cantSplit/>
          <w:trHeight w:val="238"/>
        </w:trPr>
        <w:tc>
          <w:tcPr>
            <w:tcW w:w="1620" w:type="dxa"/>
          </w:tcPr>
          <w:p w:rsidR="00C77E9E" w:rsidRPr="00EA2DCE" w:rsidRDefault="00DE7A21">
            <w:hyperlink r:id="rId45" w:history="1">
              <w:r w:rsidR="00C77E9E" w:rsidRPr="00EA2DCE">
                <w:rPr>
                  <w:rStyle w:val="Hyperlink"/>
                </w:rPr>
                <w:t>Flood</w:t>
              </w:r>
            </w:hyperlink>
          </w:p>
        </w:tc>
        <w:tc>
          <w:tcPr>
            <w:tcW w:w="1890" w:type="dxa"/>
          </w:tcPr>
          <w:p w:rsidR="00C77E9E" w:rsidRPr="00EA2DCE" w:rsidRDefault="00C77E9E">
            <w:r w:rsidRPr="00EA2DCE">
              <w:t>Goldman Sachs Bank</w:t>
            </w:r>
          </w:p>
          <w:p w:rsidR="00C77E9E" w:rsidRPr="00EA2DCE" w:rsidRDefault="00C77E9E">
            <w:r w:rsidRPr="00EA2DCE">
              <w:t>(New York, NY)</w:t>
            </w:r>
          </w:p>
        </w:tc>
        <w:tc>
          <w:tcPr>
            <w:tcW w:w="4410" w:type="dxa"/>
          </w:tcPr>
          <w:p w:rsidR="00C77E9E" w:rsidRPr="00EA2DCE" w:rsidRDefault="00C77E9E" w:rsidP="00724EA0">
            <w:pPr>
              <w:pStyle w:val="ListParagraph"/>
              <w:numPr>
                <w:ilvl w:val="0"/>
                <w:numId w:val="6"/>
              </w:numPr>
            </w:pPr>
            <w:r w:rsidRPr="00EA2DCE">
              <w:t>Pattern or practice of violations of Regulation H, 12 C.F.R. § 208.25, that implements the requirements of the Flood Disaster Protection Act.</w:t>
            </w:r>
          </w:p>
        </w:tc>
        <w:tc>
          <w:tcPr>
            <w:tcW w:w="1350" w:type="dxa"/>
          </w:tcPr>
          <w:p w:rsidR="00C77E9E" w:rsidRPr="00EA2DCE" w:rsidRDefault="00C77E9E">
            <w:r w:rsidRPr="00EA2DCE">
              <w:t>CMP</w:t>
            </w:r>
          </w:p>
        </w:tc>
        <w:tc>
          <w:tcPr>
            <w:tcW w:w="1260" w:type="dxa"/>
          </w:tcPr>
          <w:p w:rsidR="00C77E9E" w:rsidRPr="00EA2DCE" w:rsidRDefault="00C77E9E">
            <w:r w:rsidRPr="00EA2DCE">
              <w:t>FRB</w:t>
            </w:r>
          </w:p>
        </w:tc>
        <w:tc>
          <w:tcPr>
            <w:tcW w:w="1080" w:type="dxa"/>
          </w:tcPr>
          <w:p w:rsidR="00C77E9E" w:rsidRPr="00EA2DCE" w:rsidRDefault="00C77E9E">
            <w:r w:rsidRPr="00EA2DCE">
              <w:t>1/12/18</w:t>
            </w:r>
          </w:p>
        </w:tc>
        <w:tc>
          <w:tcPr>
            <w:tcW w:w="2880" w:type="dxa"/>
          </w:tcPr>
          <w:p w:rsidR="00C77E9E" w:rsidRPr="00EA2DCE" w:rsidRDefault="00C77E9E" w:rsidP="00BA4592">
            <w:r w:rsidRPr="00EA2DCE">
              <w:t>CMP: $90,000</w:t>
            </w:r>
          </w:p>
        </w:tc>
      </w:tr>
      <w:tr w:rsidR="007135BF" w:rsidRPr="00EA2DCE" w:rsidTr="00CC7A85">
        <w:trPr>
          <w:cantSplit/>
          <w:trHeight w:val="238"/>
        </w:trPr>
        <w:tc>
          <w:tcPr>
            <w:tcW w:w="1620" w:type="dxa"/>
          </w:tcPr>
          <w:p w:rsidR="007135BF" w:rsidRPr="00EA2DCE" w:rsidRDefault="00DE7A21">
            <w:hyperlink r:id="rId46" w:history="1">
              <w:r w:rsidR="007135BF" w:rsidRPr="00EA2DCE">
                <w:rPr>
                  <w:rStyle w:val="Hyperlink"/>
                </w:rPr>
                <w:t>Flood</w:t>
              </w:r>
            </w:hyperlink>
          </w:p>
        </w:tc>
        <w:tc>
          <w:tcPr>
            <w:tcW w:w="1890" w:type="dxa"/>
          </w:tcPr>
          <w:p w:rsidR="007135BF" w:rsidRPr="00EA2DCE" w:rsidRDefault="007135BF">
            <w:r w:rsidRPr="00EA2DCE">
              <w:t xml:space="preserve">Bank of Lake Mills </w:t>
            </w:r>
          </w:p>
          <w:p w:rsidR="007135BF" w:rsidRPr="00EA2DCE" w:rsidRDefault="007135BF">
            <w:r w:rsidRPr="00EA2DCE">
              <w:t>(Lake Mills, MI)</w:t>
            </w:r>
          </w:p>
        </w:tc>
        <w:tc>
          <w:tcPr>
            <w:tcW w:w="4410" w:type="dxa"/>
          </w:tcPr>
          <w:p w:rsidR="007135BF" w:rsidRPr="00EA2DCE" w:rsidRDefault="007135BF" w:rsidP="00724EA0">
            <w:pPr>
              <w:pStyle w:val="ListParagraph"/>
              <w:numPr>
                <w:ilvl w:val="0"/>
                <w:numId w:val="6"/>
              </w:numPr>
            </w:pPr>
            <w:r w:rsidRPr="00EA2DCE">
              <w:t xml:space="preserve">Failing to obtain flood insurance on a building securing a designated loan at the time of the origination of four loans; </w:t>
            </w:r>
          </w:p>
          <w:p w:rsidR="007135BF" w:rsidRPr="00EA2DCE" w:rsidRDefault="007135BF" w:rsidP="007135BF">
            <w:pPr>
              <w:pStyle w:val="ListParagraph"/>
              <w:numPr>
                <w:ilvl w:val="0"/>
                <w:numId w:val="6"/>
              </w:numPr>
            </w:pPr>
            <w:r w:rsidRPr="00EA2DCE">
              <w:t xml:space="preserve">Failing to obtain adequate flood insurance at the time of the origination of one loan; </w:t>
            </w:r>
          </w:p>
          <w:p w:rsidR="007135BF" w:rsidRPr="00EA2DCE" w:rsidRDefault="007135BF" w:rsidP="007135BF">
            <w:pPr>
              <w:pStyle w:val="ListParagraph"/>
              <w:numPr>
                <w:ilvl w:val="0"/>
                <w:numId w:val="6"/>
              </w:numPr>
            </w:pPr>
            <w:r w:rsidRPr="00EA2DCE">
              <w:t xml:space="preserve">Failing to provide to borrowers a Notice of Special Flood Hazard and Availability of Federal Disaster Relief Assistance when making, increasing, extending or renewing a loan on one occasion; </w:t>
            </w:r>
          </w:p>
          <w:p w:rsidR="007135BF" w:rsidRPr="00EA2DCE" w:rsidRDefault="007135BF" w:rsidP="007135BF">
            <w:pPr>
              <w:pStyle w:val="ListParagraph"/>
              <w:numPr>
                <w:ilvl w:val="0"/>
                <w:numId w:val="6"/>
              </w:numPr>
            </w:pPr>
            <w:r w:rsidRPr="00EA2DCE">
              <w:t>Failing to provide to borrowers a Notice of Special Flood Hazard and Availability of Federal Disaster Relief Assistance within a reasonable time before the completion of the transaction on five (5) loans.</w:t>
            </w:r>
          </w:p>
        </w:tc>
        <w:tc>
          <w:tcPr>
            <w:tcW w:w="1350" w:type="dxa"/>
          </w:tcPr>
          <w:p w:rsidR="007135BF" w:rsidRPr="00EA2DCE" w:rsidRDefault="007135BF">
            <w:r w:rsidRPr="00EA2DCE">
              <w:t>CMP</w:t>
            </w:r>
          </w:p>
        </w:tc>
        <w:tc>
          <w:tcPr>
            <w:tcW w:w="1260" w:type="dxa"/>
          </w:tcPr>
          <w:p w:rsidR="007135BF" w:rsidRPr="00EA2DCE" w:rsidRDefault="007135BF">
            <w:r w:rsidRPr="00EA2DCE">
              <w:t>FDIC</w:t>
            </w:r>
          </w:p>
        </w:tc>
        <w:tc>
          <w:tcPr>
            <w:tcW w:w="1080" w:type="dxa"/>
          </w:tcPr>
          <w:p w:rsidR="007135BF" w:rsidRPr="00EA2DCE" w:rsidRDefault="007135BF">
            <w:r w:rsidRPr="00EA2DCE">
              <w:t>1/11/18</w:t>
            </w:r>
          </w:p>
        </w:tc>
        <w:tc>
          <w:tcPr>
            <w:tcW w:w="2880" w:type="dxa"/>
          </w:tcPr>
          <w:p w:rsidR="007135BF" w:rsidRPr="00EA2DCE" w:rsidRDefault="007135BF" w:rsidP="00BA4592">
            <w:r w:rsidRPr="00EA2DCE">
              <w:t>CMP: $5,000</w:t>
            </w:r>
          </w:p>
        </w:tc>
      </w:tr>
      <w:tr w:rsidR="00325F6F" w:rsidRPr="00EA2DCE" w:rsidTr="00CC7A85">
        <w:trPr>
          <w:cantSplit/>
          <w:trHeight w:val="238"/>
        </w:trPr>
        <w:tc>
          <w:tcPr>
            <w:tcW w:w="1620" w:type="dxa"/>
          </w:tcPr>
          <w:p w:rsidR="00325F6F" w:rsidRPr="00EA2DCE" w:rsidRDefault="00DE7A21">
            <w:hyperlink r:id="rId47" w:history="1">
              <w:r w:rsidR="00B36CD8" w:rsidRPr="00EA2DCE">
                <w:rPr>
                  <w:rStyle w:val="Hyperlink"/>
                </w:rPr>
                <w:t>Flood</w:t>
              </w:r>
            </w:hyperlink>
          </w:p>
        </w:tc>
        <w:tc>
          <w:tcPr>
            <w:tcW w:w="1890" w:type="dxa"/>
          </w:tcPr>
          <w:p w:rsidR="00325F6F" w:rsidRPr="00EA2DCE" w:rsidRDefault="00B36CD8">
            <w:proofErr w:type="spellStart"/>
            <w:r w:rsidRPr="00EA2DCE">
              <w:t>Hantz</w:t>
            </w:r>
            <w:proofErr w:type="spellEnd"/>
            <w:r w:rsidRPr="00EA2DCE">
              <w:t xml:space="preserve"> Bank</w:t>
            </w:r>
          </w:p>
          <w:p w:rsidR="00B36CD8" w:rsidRPr="00EA2DCE" w:rsidRDefault="00B36CD8">
            <w:r w:rsidRPr="00EA2DCE">
              <w:t>(Southfield, MI)</w:t>
            </w:r>
          </w:p>
        </w:tc>
        <w:tc>
          <w:tcPr>
            <w:tcW w:w="4410" w:type="dxa"/>
          </w:tcPr>
          <w:p w:rsidR="007135BF" w:rsidRPr="00EA2DCE" w:rsidRDefault="00B36CD8" w:rsidP="00724EA0">
            <w:pPr>
              <w:pStyle w:val="ListParagraph"/>
              <w:numPr>
                <w:ilvl w:val="0"/>
                <w:numId w:val="6"/>
              </w:numPr>
            </w:pPr>
            <w:r w:rsidRPr="00EA2DCE">
              <w:t>Failing to obtain flood insurance at</w:t>
            </w:r>
            <w:r w:rsidR="007135BF" w:rsidRPr="00EA2DCE">
              <w:t xml:space="preserve"> origination in four instances;</w:t>
            </w:r>
          </w:p>
          <w:p w:rsidR="00B36CD8" w:rsidRPr="00EA2DCE" w:rsidRDefault="007135BF" w:rsidP="00724EA0">
            <w:pPr>
              <w:pStyle w:val="ListParagraph"/>
              <w:numPr>
                <w:ilvl w:val="0"/>
                <w:numId w:val="6"/>
              </w:numPr>
            </w:pPr>
            <w:r w:rsidRPr="00EA2DCE">
              <w:t>F</w:t>
            </w:r>
            <w:r w:rsidR="00B36CD8" w:rsidRPr="00EA2DCE">
              <w:t xml:space="preserve">ailing to maintain adequate flood insurance in two instances; </w:t>
            </w:r>
          </w:p>
          <w:p w:rsidR="007135BF" w:rsidRPr="00EA2DCE" w:rsidRDefault="007135BF" w:rsidP="007135BF">
            <w:pPr>
              <w:pStyle w:val="ListParagraph"/>
              <w:numPr>
                <w:ilvl w:val="0"/>
                <w:numId w:val="6"/>
              </w:numPr>
            </w:pPr>
            <w:r w:rsidRPr="00EA2DCE">
              <w:t>F</w:t>
            </w:r>
            <w:r w:rsidR="00B36CD8" w:rsidRPr="00EA2DCE">
              <w:t xml:space="preserve">ailing to properly force place flood insurance in two instances; </w:t>
            </w:r>
          </w:p>
          <w:p w:rsidR="00325F6F" w:rsidRPr="00EA2DCE" w:rsidRDefault="007135BF" w:rsidP="007135BF">
            <w:pPr>
              <w:pStyle w:val="ListParagraph"/>
              <w:numPr>
                <w:ilvl w:val="0"/>
                <w:numId w:val="6"/>
              </w:numPr>
            </w:pPr>
            <w:r w:rsidRPr="00EA2DCE">
              <w:t>F</w:t>
            </w:r>
            <w:r w:rsidR="00B36CD8" w:rsidRPr="00EA2DCE">
              <w:t>ailing to provide notice to borrowers that the collateral for the loan was in a designated special flood hazard area in six instances.</w:t>
            </w:r>
          </w:p>
        </w:tc>
        <w:tc>
          <w:tcPr>
            <w:tcW w:w="1350" w:type="dxa"/>
          </w:tcPr>
          <w:p w:rsidR="00325F6F" w:rsidRPr="00EA2DCE" w:rsidRDefault="007135BF">
            <w:r w:rsidRPr="00EA2DCE">
              <w:t>CMP</w:t>
            </w:r>
          </w:p>
        </w:tc>
        <w:tc>
          <w:tcPr>
            <w:tcW w:w="1260" w:type="dxa"/>
          </w:tcPr>
          <w:p w:rsidR="00325F6F" w:rsidRPr="00EA2DCE" w:rsidRDefault="00B36CD8">
            <w:r w:rsidRPr="00EA2DCE">
              <w:t>FDI</w:t>
            </w:r>
            <w:r w:rsidR="007135BF" w:rsidRPr="00EA2DCE">
              <w:t>C</w:t>
            </w:r>
          </w:p>
        </w:tc>
        <w:tc>
          <w:tcPr>
            <w:tcW w:w="1080" w:type="dxa"/>
          </w:tcPr>
          <w:p w:rsidR="00325F6F" w:rsidRPr="00EA2DCE" w:rsidRDefault="00B36CD8">
            <w:r w:rsidRPr="00EA2DCE">
              <w:t>1/10/18</w:t>
            </w:r>
          </w:p>
        </w:tc>
        <w:tc>
          <w:tcPr>
            <w:tcW w:w="2880" w:type="dxa"/>
          </w:tcPr>
          <w:p w:rsidR="00325F6F" w:rsidRPr="00EA2DCE" w:rsidRDefault="007135BF" w:rsidP="00BA4592">
            <w:r w:rsidRPr="00EA2DCE">
              <w:t>CMP: $14,800</w:t>
            </w:r>
          </w:p>
        </w:tc>
      </w:tr>
    </w:tbl>
    <w:p w:rsidR="00E215BA" w:rsidRPr="00EA2DCE" w:rsidRDefault="00E215BA" w:rsidP="008F2671"/>
    <w:p w:rsidR="00E96AF3" w:rsidRPr="00EA2DCE" w:rsidRDefault="00E96AF3" w:rsidP="00E96AF3"/>
    <w:p w:rsidR="00E96AF3" w:rsidRPr="00EA2DCE" w:rsidRDefault="00E96AF3" w:rsidP="00E96AF3"/>
    <w:p w:rsidR="00192EA0" w:rsidRPr="00EA2DCE" w:rsidRDefault="00192EA0" w:rsidP="00E96AF3"/>
    <w:p w:rsidR="00E96AF3" w:rsidRPr="00EA2DCE" w:rsidRDefault="00E96AF3" w:rsidP="00E96AF3">
      <w:r w:rsidRPr="00EA2DCE">
        <w:t>2018 YTD</w:t>
      </w:r>
      <w:r w:rsidR="00CD7F5C" w:rsidRPr="00EA2DCE">
        <w:t>*</w:t>
      </w:r>
      <w:r w:rsidRPr="00EA2DCE">
        <w:t xml:space="preserve"> </w:t>
      </w:r>
      <w:r w:rsidR="00B37A8E" w:rsidRPr="00EA2DCE">
        <w:t>(released as of 12/28</w:t>
      </w:r>
      <w:r w:rsidR="001B517C" w:rsidRPr="00EA2DCE">
        <w:t>/18</w:t>
      </w:r>
      <w:r w:rsidR="00906147" w:rsidRPr="00EA2DCE">
        <w:t>)</w:t>
      </w:r>
      <w:r w:rsidR="00B90D6C" w:rsidRPr="00EA2DCE">
        <w:t xml:space="preserve"> </w:t>
      </w:r>
      <w:r w:rsidRPr="00EA2DCE">
        <w:t>LENDING</w:t>
      </w:r>
      <w:r w:rsidR="00B37A8E" w:rsidRPr="00EA2DCE">
        <w:t xml:space="preserve"> COMPLIANCE</w:t>
      </w:r>
      <w:r w:rsidRPr="00EA2DCE">
        <w:t xml:space="preserve"> RELATED ENFORCEMENT ACTIONS</w:t>
      </w:r>
      <w:r w:rsidR="00B90D6C" w:rsidRPr="00EA2DCE">
        <w:t xml:space="preserve"> </w:t>
      </w:r>
    </w:p>
    <w:p w:rsidR="00E96AF3" w:rsidRPr="00EA2DCE" w:rsidRDefault="00192EA0" w:rsidP="00E96AF3">
      <w:r w:rsidRPr="00EA2DCE">
        <w:t>(</w:t>
      </w:r>
      <w:r w:rsidR="00E96AF3" w:rsidRPr="00EA2DCE">
        <w:t>NUMBER BY PENALTY TYPE AND REGULATOR</w:t>
      </w:r>
      <w:r w:rsidRPr="00EA2DCE">
        <w:t>)</w:t>
      </w:r>
    </w:p>
    <w:p w:rsidR="00E96AF3" w:rsidRPr="00EA2DCE" w:rsidRDefault="00E96AF3" w:rsidP="00E96AF3"/>
    <w:tbl>
      <w:tblPr>
        <w:tblStyle w:val="MediumList2-Accent1"/>
        <w:tblW w:w="4997" w:type="pct"/>
        <w:tblInd w:w="30" w:type="dxa"/>
        <w:tblLook w:val="04A0" w:firstRow="1" w:lastRow="0" w:firstColumn="1" w:lastColumn="0" w:noHBand="0" w:noVBand="1"/>
      </w:tblPr>
      <w:tblGrid>
        <w:gridCol w:w="2422"/>
        <w:gridCol w:w="1374"/>
        <w:gridCol w:w="1373"/>
        <w:gridCol w:w="1373"/>
        <w:gridCol w:w="1373"/>
        <w:gridCol w:w="1257"/>
        <w:gridCol w:w="1254"/>
        <w:gridCol w:w="1254"/>
        <w:gridCol w:w="1252"/>
      </w:tblGrid>
      <w:tr w:rsidR="00F06BD9" w:rsidRPr="00EA2DCE" w:rsidTr="00F06BD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36" w:type="pct"/>
            <w:tcBorders>
              <w:right w:val="single" w:sz="4" w:space="0" w:color="5B9BD5" w:themeColor="accent1"/>
            </w:tcBorders>
            <w:noWrap/>
          </w:tcPr>
          <w:p w:rsidR="00F06BD9" w:rsidRPr="00EA2DCE" w:rsidRDefault="00F06BD9" w:rsidP="00E96AF3">
            <w:pPr>
              <w:rPr>
                <w:rFonts w:asciiTheme="minorHAnsi" w:eastAsiaTheme="minorEastAsia" w:hAnsiTheme="minorHAnsi"/>
                <w:sz w:val="22"/>
                <w:szCs w:val="22"/>
              </w:rPr>
            </w:pPr>
            <w:r w:rsidRPr="00EA2DCE">
              <w:rPr>
                <w:rFonts w:asciiTheme="minorHAnsi" w:eastAsiaTheme="minorEastAsia" w:hAnsiTheme="minorHAnsi"/>
                <w:sz w:val="22"/>
                <w:szCs w:val="22"/>
              </w:rPr>
              <w:t>LAW/REGULATION</w:t>
            </w:r>
          </w:p>
        </w:tc>
        <w:tc>
          <w:tcPr>
            <w:tcW w:w="531" w:type="pct"/>
            <w:tcBorders>
              <w:left w:val="single" w:sz="4" w:space="0" w:color="5B9BD5" w:themeColor="accent1"/>
            </w:tcBorders>
          </w:tcPr>
          <w:p w:rsidR="00F06BD9" w:rsidRPr="00EA2DCE" w:rsidRDefault="00F06BD9" w:rsidP="00E96AF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EA2DCE">
              <w:rPr>
                <w:rFonts w:asciiTheme="minorHAnsi" w:eastAsiaTheme="minorEastAsia" w:hAnsiTheme="minorHAnsi"/>
                <w:sz w:val="22"/>
                <w:szCs w:val="22"/>
              </w:rPr>
              <w:t>FDIC</w:t>
            </w:r>
          </w:p>
        </w:tc>
        <w:tc>
          <w:tcPr>
            <w:tcW w:w="531" w:type="pct"/>
          </w:tcPr>
          <w:p w:rsidR="00F06BD9" w:rsidRPr="00EA2DCE" w:rsidRDefault="00F06BD9" w:rsidP="00E96AF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EA2DCE">
              <w:rPr>
                <w:rFonts w:asciiTheme="minorHAnsi" w:eastAsiaTheme="minorEastAsia" w:hAnsiTheme="minorHAnsi"/>
                <w:sz w:val="22"/>
                <w:szCs w:val="22"/>
              </w:rPr>
              <w:t>FRB</w:t>
            </w:r>
          </w:p>
        </w:tc>
        <w:tc>
          <w:tcPr>
            <w:tcW w:w="531" w:type="pct"/>
          </w:tcPr>
          <w:p w:rsidR="00F06BD9" w:rsidRPr="00EA2DCE" w:rsidRDefault="00F06BD9" w:rsidP="00E96AF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EA2DCE">
              <w:rPr>
                <w:rFonts w:asciiTheme="minorHAnsi" w:eastAsiaTheme="minorEastAsia" w:hAnsiTheme="minorHAnsi"/>
                <w:sz w:val="22"/>
                <w:szCs w:val="22"/>
              </w:rPr>
              <w:t>OCC</w:t>
            </w:r>
          </w:p>
        </w:tc>
        <w:tc>
          <w:tcPr>
            <w:tcW w:w="531" w:type="pct"/>
          </w:tcPr>
          <w:p w:rsidR="00F06BD9" w:rsidRPr="00EA2DCE" w:rsidRDefault="00F06BD9" w:rsidP="00E96AF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EA2DCE">
              <w:rPr>
                <w:rFonts w:asciiTheme="minorHAnsi" w:eastAsiaTheme="minorEastAsia" w:hAnsiTheme="minorHAnsi"/>
                <w:sz w:val="22"/>
                <w:szCs w:val="22"/>
              </w:rPr>
              <w:t>CFPB</w:t>
            </w:r>
          </w:p>
        </w:tc>
        <w:tc>
          <w:tcPr>
            <w:tcW w:w="486" w:type="pct"/>
          </w:tcPr>
          <w:p w:rsidR="00F06BD9" w:rsidRPr="00EA2DCE" w:rsidRDefault="00F06BD9" w:rsidP="00E96AF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EA2DCE">
              <w:rPr>
                <w:rFonts w:asciiTheme="minorHAnsi" w:eastAsiaTheme="minorEastAsia" w:hAnsiTheme="minorHAnsi"/>
                <w:sz w:val="22"/>
                <w:szCs w:val="22"/>
              </w:rPr>
              <w:t>HUD</w:t>
            </w:r>
          </w:p>
        </w:tc>
        <w:tc>
          <w:tcPr>
            <w:tcW w:w="485" w:type="pct"/>
          </w:tcPr>
          <w:p w:rsidR="00F06BD9" w:rsidRPr="00EA2DCE" w:rsidRDefault="00F06BD9" w:rsidP="00E96AF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EA2DCE">
              <w:rPr>
                <w:rFonts w:asciiTheme="minorHAnsi" w:eastAsiaTheme="minorEastAsia" w:hAnsiTheme="minorHAnsi"/>
                <w:sz w:val="22"/>
                <w:szCs w:val="22"/>
              </w:rPr>
              <w:t>DOJ</w:t>
            </w:r>
          </w:p>
        </w:tc>
        <w:tc>
          <w:tcPr>
            <w:tcW w:w="485" w:type="pct"/>
          </w:tcPr>
          <w:p w:rsidR="00F06BD9" w:rsidRPr="00EA2DCE" w:rsidRDefault="00F06BD9" w:rsidP="00E96AF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EA2DCE">
              <w:rPr>
                <w:rFonts w:asciiTheme="minorHAnsi" w:eastAsiaTheme="minorEastAsia" w:hAnsiTheme="minorHAnsi"/>
                <w:sz w:val="22"/>
                <w:szCs w:val="22"/>
              </w:rPr>
              <w:t>NCUA</w:t>
            </w:r>
          </w:p>
        </w:tc>
        <w:tc>
          <w:tcPr>
            <w:tcW w:w="484" w:type="pct"/>
            <w:shd w:val="clear" w:color="auto" w:fill="BDD6EE" w:themeFill="accent1" w:themeFillTint="66"/>
          </w:tcPr>
          <w:p w:rsidR="00F06BD9" w:rsidRPr="005046B0" w:rsidRDefault="00F06BD9" w:rsidP="00E96AF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sz w:val="22"/>
                <w:szCs w:val="22"/>
              </w:rPr>
            </w:pPr>
            <w:r w:rsidRPr="005046B0">
              <w:rPr>
                <w:rFonts w:asciiTheme="minorHAnsi" w:eastAsiaTheme="minorEastAsia" w:hAnsiTheme="minorHAnsi"/>
                <w:b/>
                <w:sz w:val="22"/>
                <w:szCs w:val="22"/>
              </w:rPr>
              <w:t>TOTAL</w:t>
            </w:r>
          </w:p>
        </w:tc>
      </w:tr>
      <w:tr w:rsidR="00F06BD9" w:rsidRPr="00EA2DCE" w:rsidTr="00F06B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36" w:type="pct"/>
            <w:tcBorders>
              <w:top w:val="single" w:sz="24" w:space="0" w:color="5B9BD5" w:themeColor="accent1"/>
            </w:tcBorders>
            <w:noWrap/>
          </w:tcPr>
          <w:p w:rsidR="00F06BD9" w:rsidRPr="00EA2DCE" w:rsidRDefault="00F06BD9" w:rsidP="00E96AF3">
            <w:pPr>
              <w:rPr>
                <w:rFonts w:asciiTheme="minorHAnsi" w:eastAsiaTheme="minorEastAsia" w:hAnsiTheme="minorHAnsi"/>
              </w:rPr>
            </w:pPr>
            <w:r w:rsidRPr="00EA2DCE">
              <w:rPr>
                <w:rFonts w:asciiTheme="minorHAnsi" w:eastAsiaTheme="minorEastAsia" w:hAnsiTheme="minorHAnsi"/>
              </w:rPr>
              <w:t>FAIR LENDING</w:t>
            </w:r>
          </w:p>
        </w:tc>
        <w:tc>
          <w:tcPr>
            <w:tcW w:w="531" w:type="pct"/>
            <w:tcBorders>
              <w:top w:val="single" w:sz="24" w:space="0" w:color="5B9BD5" w:themeColor="accent1"/>
            </w:tcBorders>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531" w:type="pct"/>
            <w:tcBorders>
              <w:top w:val="single" w:sz="24" w:space="0" w:color="5B9BD5" w:themeColor="accent1"/>
            </w:tcBorders>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531" w:type="pct"/>
            <w:tcBorders>
              <w:top w:val="single" w:sz="24" w:space="0" w:color="5B9BD5" w:themeColor="accent1"/>
            </w:tcBorders>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531" w:type="pct"/>
            <w:tcBorders>
              <w:top w:val="single" w:sz="24" w:space="0" w:color="5B9BD5" w:themeColor="accent1"/>
            </w:tcBorders>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6" w:type="pct"/>
            <w:tcBorders>
              <w:top w:val="single" w:sz="24" w:space="0" w:color="5B9BD5" w:themeColor="accent1"/>
            </w:tcBorders>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3</w:t>
            </w:r>
          </w:p>
        </w:tc>
        <w:tc>
          <w:tcPr>
            <w:tcW w:w="485" w:type="pct"/>
            <w:tcBorders>
              <w:top w:val="single" w:sz="24" w:space="0" w:color="5B9BD5" w:themeColor="accent1"/>
            </w:tcBorders>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1</w:t>
            </w:r>
          </w:p>
        </w:tc>
        <w:tc>
          <w:tcPr>
            <w:tcW w:w="485" w:type="pct"/>
            <w:tcBorders>
              <w:top w:val="single" w:sz="24" w:space="0" w:color="5B9BD5" w:themeColor="accent1"/>
            </w:tcBorders>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4" w:type="pct"/>
            <w:tcBorders>
              <w:top w:val="single" w:sz="24" w:space="0" w:color="5B9BD5" w:themeColor="accent1"/>
            </w:tcBorders>
          </w:tcPr>
          <w:p w:rsidR="00F06BD9" w:rsidRPr="005046B0" w:rsidRDefault="00F06BD9" w:rsidP="00E96AF3">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4</w:t>
            </w:r>
          </w:p>
        </w:tc>
      </w:tr>
      <w:tr w:rsidR="00F06BD9" w:rsidRPr="00EA2DCE" w:rsidTr="00F06BD9">
        <w:trPr>
          <w:trHeight w:val="270"/>
        </w:trPr>
        <w:tc>
          <w:tcPr>
            <w:cnfStyle w:val="001000000000" w:firstRow="0" w:lastRow="0" w:firstColumn="1" w:lastColumn="0" w:oddVBand="0" w:evenVBand="0" w:oddHBand="0" w:evenHBand="0" w:firstRowFirstColumn="0" w:firstRowLastColumn="0" w:lastRowFirstColumn="0" w:lastRowLastColumn="0"/>
            <w:tcW w:w="936" w:type="pct"/>
            <w:noWrap/>
          </w:tcPr>
          <w:p w:rsidR="00F06BD9" w:rsidRPr="00EA2DCE" w:rsidRDefault="00F06BD9" w:rsidP="00E96AF3">
            <w:pPr>
              <w:rPr>
                <w:rFonts w:asciiTheme="minorHAnsi" w:eastAsiaTheme="minorEastAsia" w:hAnsiTheme="minorHAnsi"/>
              </w:rPr>
            </w:pPr>
            <w:r w:rsidRPr="00EA2DCE">
              <w:rPr>
                <w:rFonts w:asciiTheme="minorHAnsi" w:eastAsiaTheme="minorEastAsia" w:hAnsiTheme="minorHAnsi"/>
              </w:rPr>
              <w:t>FLOOD</w:t>
            </w:r>
          </w:p>
        </w:tc>
        <w:tc>
          <w:tcPr>
            <w:tcW w:w="531" w:type="pct"/>
            <w:tcBorders>
              <w:top w:val="nil"/>
              <w:bottom w:val="nil"/>
            </w:tcBorders>
          </w:tcPr>
          <w:p w:rsidR="00F06BD9" w:rsidRPr="00EA2DCE" w:rsidRDefault="00376BBE"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w:t>
            </w:r>
          </w:p>
        </w:tc>
        <w:tc>
          <w:tcPr>
            <w:tcW w:w="531"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5</w:t>
            </w:r>
          </w:p>
        </w:tc>
        <w:tc>
          <w:tcPr>
            <w:tcW w:w="531"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1</w:t>
            </w:r>
          </w:p>
        </w:tc>
        <w:tc>
          <w:tcPr>
            <w:tcW w:w="531"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6"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5"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5"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4" w:type="pct"/>
            <w:tcBorders>
              <w:top w:val="nil"/>
              <w:bottom w:val="nil"/>
            </w:tcBorders>
            <w:shd w:val="clear" w:color="auto" w:fill="DEEAF6" w:themeFill="accent1" w:themeFillTint="33"/>
          </w:tcPr>
          <w:p w:rsidR="00F06BD9" w:rsidRPr="005046B0" w:rsidRDefault="00376BBE" w:rsidP="00E96AF3">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16</w:t>
            </w:r>
          </w:p>
        </w:tc>
      </w:tr>
      <w:tr w:rsidR="00F06BD9" w:rsidRPr="00EA2DCE" w:rsidTr="00F06BD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36" w:type="pct"/>
            <w:noWrap/>
          </w:tcPr>
          <w:p w:rsidR="00F06BD9" w:rsidRPr="00EA2DCE" w:rsidRDefault="00F06BD9" w:rsidP="00E96AF3">
            <w:pPr>
              <w:rPr>
                <w:rFonts w:asciiTheme="minorHAnsi" w:eastAsiaTheme="minorEastAsia" w:hAnsiTheme="minorHAnsi"/>
              </w:rPr>
            </w:pPr>
            <w:r w:rsidRPr="00EA2DCE">
              <w:rPr>
                <w:rFonts w:asciiTheme="minorHAnsi" w:eastAsiaTheme="minorEastAsia" w:hAnsiTheme="minorHAnsi"/>
              </w:rPr>
              <w:t>MILITARY LENDING</w:t>
            </w:r>
          </w:p>
        </w:tc>
        <w:tc>
          <w:tcPr>
            <w:tcW w:w="531"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531"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531"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531"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6"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5"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2</w:t>
            </w:r>
          </w:p>
        </w:tc>
        <w:tc>
          <w:tcPr>
            <w:tcW w:w="485"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4" w:type="pct"/>
          </w:tcPr>
          <w:p w:rsidR="00F06BD9" w:rsidRPr="005046B0" w:rsidRDefault="00F06BD9" w:rsidP="00E96AF3">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sidRPr="005046B0">
              <w:rPr>
                <w:rFonts w:eastAsiaTheme="minorEastAsia"/>
                <w:b/>
              </w:rPr>
              <w:t>2</w:t>
            </w:r>
          </w:p>
        </w:tc>
      </w:tr>
      <w:tr w:rsidR="00F06BD9" w:rsidRPr="00EA2DCE" w:rsidTr="00F06BD9">
        <w:trPr>
          <w:trHeight w:val="270"/>
        </w:trPr>
        <w:tc>
          <w:tcPr>
            <w:cnfStyle w:val="001000000000" w:firstRow="0" w:lastRow="0" w:firstColumn="1" w:lastColumn="0" w:oddVBand="0" w:evenVBand="0" w:oddHBand="0" w:evenHBand="0" w:firstRowFirstColumn="0" w:firstRowLastColumn="0" w:lastRowFirstColumn="0" w:lastRowLastColumn="0"/>
            <w:tcW w:w="936" w:type="pct"/>
            <w:noWrap/>
          </w:tcPr>
          <w:p w:rsidR="00F06BD9" w:rsidRPr="00EA2DCE" w:rsidRDefault="00F06BD9" w:rsidP="00E96AF3">
            <w:pPr>
              <w:rPr>
                <w:rFonts w:asciiTheme="minorHAnsi" w:eastAsiaTheme="minorEastAsia" w:hAnsiTheme="minorHAnsi"/>
              </w:rPr>
            </w:pPr>
            <w:r w:rsidRPr="00EA2DCE">
              <w:rPr>
                <w:rFonts w:asciiTheme="minorHAnsi" w:eastAsiaTheme="minorEastAsia" w:hAnsiTheme="minorHAnsi"/>
              </w:rPr>
              <w:t>TILA/RESPA</w:t>
            </w:r>
          </w:p>
        </w:tc>
        <w:tc>
          <w:tcPr>
            <w:tcW w:w="531"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1</w:t>
            </w:r>
          </w:p>
        </w:tc>
        <w:tc>
          <w:tcPr>
            <w:tcW w:w="531"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1</w:t>
            </w:r>
          </w:p>
        </w:tc>
        <w:tc>
          <w:tcPr>
            <w:tcW w:w="531"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531"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2</w:t>
            </w:r>
          </w:p>
        </w:tc>
        <w:tc>
          <w:tcPr>
            <w:tcW w:w="486"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5"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5" w:type="pct"/>
            <w:tcBorders>
              <w:top w:val="nil"/>
              <w:bottom w:val="nil"/>
            </w:tcBorders>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4" w:type="pct"/>
            <w:tcBorders>
              <w:top w:val="nil"/>
              <w:bottom w:val="nil"/>
            </w:tcBorders>
          </w:tcPr>
          <w:p w:rsidR="00F06BD9" w:rsidRPr="005046B0" w:rsidRDefault="00F06BD9" w:rsidP="00E96AF3">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sidRPr="005046B0">
              <w:rPr>
                <w:rFonts w:eastAsiaTheme="minorEastAsia"/>
                <w:b/>
              </w:rPr>
              <w:t>4</w:t>
            </w:r>
          </w:p>
        </w:tc>
      </w:tr>
      <w:tr w:rsidR="00F06BD9" w:rsidRPr="00EA2DCE" w:rsidTr="00F06BD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36" w:type="pct"/>
            <w:noWrap/>
          </w:tcPr>
          <w:p w:rsidR="00F06BD9" w:rsidRPr="00EA2DCE" w:rsidRDefault="00F06BD9" w:rsidP="00E96AF3">
            <w:pPr>
              <w:rPr>
                <w:rFonts w:asciiTheme="minorHAnsi" w:eastAsiaTheme="minorEastAsia" w:hAnsiTheme="minorHAnsi"/>
              </w:rPr>
            </w:pPr>
            <w:r w:rsidRPr="00EA2DCE">
              <w:rPr>
                <w:rFonts w:asciiTheme="minorHAnsi" w:eastAsiaTheme="minorEastAsia" w:hAnsiTheme="minorHAnsi"/>
              </w:rPr>
              <w:t>UDAP/UDAAP</w:t>
            </w:r>
          </w:p>
        </w:tc>
        <w:tc>
          <w:tcPr>
            <w:tcW w:w="531"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1</w:t>
            </w:r>
          </w:p>
        </w:tc>
        <w:tc>
          <w:tcPr>
            <w:tcW w:w="531"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531"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1</w:t>
            </w:r>
          </w:p>
        </w:tc>
        <w:tc>
          <w:tcPr>
            <w:tcW w:w="531"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7</w:t>
            </w:r>
          </w:p>
        </w:tc>
        <w:tc>
          <w:tcPr>
            <w:tcW w:w="486"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5"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5" w:type="pct"/>
          </w:tcPr>
          <w:p w:rsidR="00F06BD9" w:rsidRPr="00EA2DCE" w:rsidRDefault="00F06BD9" w:rsidP="00E96A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4" w:type="pct"/>
          </w:tcPr>
          <w:p w:rsidR="00F06BD9" w:rsidRPr="005046B0" w:rsidRDefault="00F06BD9" w:rsidP="00E96AF3">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sidRPr="005046B0">
              <w:rPr>
                <w:rFonts w:eastAsiaTheme="minorEastAsia"/>
                <w:b/>
              </w:rPr>
              <w:t>9</w:t>
            </w:r>
          </w:p>
        </w:tc>
      </w:tr>
      <w:tr w:rsidR="00F06BD9" w:rsidRPr="00EA2DCE" w:rsidTr="00F06BD9">
        <w:trPr>
          <w:trHeight w:val="270"/>
        </w:trPr>
        <w:tc>
          <w:tcPr>
            <w:cnfStyle w:val="001000000000" w:firstRow="0" w:lastRow="0" w:firstColumn="1" w:lastColumn="0" w:oddVBand="0" w:evenVBand="0" w:oddHBand="0" w:evenHBand="0" w:firstRowFirstColumn="0" w:firstRowLastColumn="0" w:lastRowFirstColumn="0" w:lastRowLastColumn="0"/>
            <w:tcW w:w="936" w:type="pct"/>
            <w:noWrap/>
          </w:tcPr>
          <w:p w:rsidR="00F06BD9" w:rsidRPr="00EA2DCE" w:rsidRDefault="00F06BD9" w:rsidP="00E96AF3">
            <w:pPr>
              <w:rPr>
                <w:rFonts w:asciiTheme="minorHAnsi" w:eastAsiaTheme="minorEastAsia" w:hAnsiTheme="minorHAnsi"/>
              </w:rPr>
            </w:pPr>
            <w:r w:rsidRPr="00EA2DCE">
              <w:rPr>
                <w:rFonts w:asciiTheme="minorHAnsi" w:eastAsiaTheme="minorEastAsia" w:hAnsiTheme="minorHAnsi"/>
              </w:rPr>
              <w:t>OTHER</w:t>
            </w:r>
          </w:p>
        </w:tc>
        <w:tc>
          <w:tcPr>
            <w:tcW w:w="531" w:type="pct"/>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2</w:t>
            </w:r>
          </w:p>
        </w:tc>
        <w:tc>
          <w:tcPr>
            <w:tcW w:w="531" w:type="pct"/>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1</w:t>
            </w:r>
          </w:p>
        </w:tc>
        <w:tc>
          <w:tcPr>
            <w:tcW w:w="531" w:type="pct"/>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531" w:type="pct"/>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2</w:t>
            </w:r>
          </w:p>
        </w:tc>
        <w:tc>
          <w:tcPr>
            <w:tcW w:w="486" w:type="pct"/>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5" w:type="pct"/>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5" w:type="pct"/>
          </w:tcPr>
          <w:p w:rsidR="00F06BD9" w:rsidRPr="00EA2DCE" w:rsidRDefault="00F06BD9" w:rsidP="00E96A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EA2DCE">
              <w:rPr>
                <w:rFonts w:asciiTheme="minorHAnsi" w:eastAsiaTheme="minorEastAsia" w:hAnsiTheme="minorHAnsi"/>
              </w:rPr>
              <w:t>-</w:t>
            </w:r>
          </w:p>
        </w:tc>
        <w:tc>
          <w:tcPr>
            <w:tcW w:w="484" w:type="pct"/>
          </w:tcPr>
          <w:p w:rsidR="00F06BD9" w:rsidRPr="005046B0" w:rsidRDefault="00F06BD9" w:rsidP="00E96AF3">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sidRPr="005046B0">
              <w:rPr>
                <w:rFonts w:eastAsiaTheme="minorEastAsia"/>
                <w:b/>
              </w:rPr>
              <w:t>5</w:t>
            </w:r>
          </w:p>
        </w:tc>
      </w:tr>
      <w:tr w:rsidR="00F06BD9" w:rsidRPr="00EA2DCE" w:rsidTr="00F06BD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36" w:type="pct"/>
            <w:shd w:val="clear" w:color="auto" w:fill="BDD6EE" w:themeFill="accent1" w:themeFillTint="66"/>
            <w:noWrap/>
          </w:tcPr>
          <w:p w:rsidR="00F06BD9" w:rsidRPr="005046B0" w:rsidRDefault="00F06BD9" w:rsidP="00E96AF3">
            <w:pPr>
              <w:rPr>
                <w:rFonts w:asciiTheme="minorHAnsi" w:eastAsiaTheme="minorEastAsia" w:hAnsiTheme="minorHAnsi"/>
                <w:b/>
              </w:rPr>
            </w:pPr>
            <w:r w:rsidRPr="005046B0">
              <w:rPr>
                <w:rFonts w:asciiTheme="minorHAnsi" w:eastAsiaTheme="minorEastAsia" w:hAnsiTheme="minorHAnsi"/>
                <w:b/>
              </w:rPr>
              <w:t>TOTAL</w:t>
            </w:r>
          </w:p>
        </w:tc>
        <w:tc>
          <w:tcPr>
            <w:tcW w:w="531" w:type="pct"/>
            <w:shd w:val="clear" w:color="auto" w:fill="BDD6EE" w:themeFill="accent1" w:themeFillTint="66"/>
          </w:tcPr>
          <w:p w:rsidR="00F06BD9" w:rsidRPr="005046B0" w:rsidRDefault="00CD0651" w:rsidP="00E96AF3">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1</w:t>
            </w:r>
            <w:r w:rsidR="00376BBE">
              <w:rPr>
                <w:rFonts w:eastAsiaTheme="minorEastAsia"/>
                <w:b/>
              </w:rPr>
              <w:t>4</w:t>
            </w:r>
          </w:p>
        </w:tc>
        <w:tc>
          <w:tcPr>
            <w:tcW w:w="531" w:type="pct"/>
            <w:shd w:val="clear" w:color="auto" w:fill="BDD6EE" w:themeFill="accent1" w:themeFillTint="66"/>
          </w:tcPr>
          <w:p w:rsidR="00F06BD9" w:rsidRPr="005046B0" w:rsidRDefault="00F06BD9" w:rsidP="00E96AF3">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7</w:t>
            </w:r>
          </w:p>
        </w:tc>
        <w:tc>
          <w:tcPr>
            <w:tcW w:w="531" w:type="pct"/>
            <w:shd w:val="clear" w:color="auto" w:fill="BDD6EE" w:themeFill="accent1" w:themeFillTint="66"/>
          </w:tcPr>
          <w:p w:rsidR="00F06BD9" w:rsidRPr="005046B0" w:rsidRDefault="00F06BD9" w:rsidP="00E96AF3">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2</w:t>
            </w:r>
          </w:p>
        </w:tc>
        <w:tc>
          <w:tcPr>
            <w:tcW w:w="531" w:type="pct"/>
            <w:shd w:val="clear" w:color="auto" w:fill="BDD6EE" w:themeFill="accent1" w:themeFillTint="66"/>
          </w:tcPr>
          <w:p w:rsidR="00F06BD9" w:rsidRPr="005046B0" w:rsidRDefault="00F06BD9" w:rsidP="00E96AF3">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11</w:t>
            </w:r>
          </w:p>
        </w:tc>
        <w:tc>
          <w:tcPr>
            <w:tcW w:w="486" w:type="pct"/>
            <w:shd w:val="clear" w:color="auto" w:fill="BDD6EE" w:themeFill="accent1" w:themeFillTint="66"/>
          </w:tcPr>
          <w:p w:rsidR="00F06BD9" w:rsidRPr="005046B0" w:rsidRDefault="00F06BD9" w:rsidP="00E96AF3">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3</w:t>
            </w:r>
          </w:p>
        </w:tc>
        <w:tc>
          <w:tcPr>
            <w:tcW w:w="485" w:type="pct"/>
            <w:shd w:val="clear" w:color="auto" w:fill="BDD6EE" w:themeFill="accent1" w:themeFillTint="66"/>
          </w:tcPr>
          <w:p w:rsidR="00F06BD9" w:rsidRPr="005046B0" w:rsidRDefault="00F06BD9" w:rsidP="00E96AF3">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3</w:t>
            </w:r>
          </w:p>
        </w:tc>
        <w:tc>
          <w:tcPr>
            <w:tcW w:w="485" w:type="pct"/>
            <w:shd w:val="clear" w:color="auto" w:fill="BDD6EE" w:themeFill="accent1" w:themeFillTint="66"/>
          </w:tcPr>
          <w:p w:rsidR="00F06BD9" w:rsidRPr="005046B0" w:rsidRDefault="00F06BD9" w:rsidP="00E96AF3">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0</w:t>
            </w:r>
          </w:p>
        </w:tc>
        <w:tc>
          <w:tcPr>
            <w:tcW w:w="484" w:type="pct"/>
            <w:shd w:val="clear" w:color="auto" w:fill="BDD6EE" w:themeFill="accent1" w:themeFillTint="66"/>
          </w:tcPr>
          <w:p w:rsidR="00F06BD9" w:rsidRPr="005046B0" w:rsidRDefault="00376BBE" w:rsidP="00E96AF3">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40</w:t>
            </w:r>
          </w:p>
        </w:tc>
      </w:tr>
    </w:tbl>
    <w:p w:rsidR="00E96AF3" w:rsidRPr="00EA2DCE" w:rsidRDefault="00E96AF3" w:rsidP="00E96AF3"/>
    <w:p w:rsidR="00525D78" w:rsidRPr="00EA2DCE" w:rsidRDefault="00B90D6C" w:rsidP="008F2671">
      <w:r w:rsidRPr="00EA2DCE">
        <w:t>NOTE: Enforcement actions may include violation of more than one law or regulation.</w:t>
      </w:r>
    </w:p>
    <w:p w:rsidR="00CD7F5C" w:rsidRPr="00EA2DCE" w:rsidRDefault="00CD7F5C" w:rsidP="008F2671"/>
    <w:p w:rsidR="00CD7F5C" w:rsidRDefault="00CD7F5C" w:rsidP="008F2671">
      <w:r w:rsidRPr="00EA2DCE">
        <w:t>*Lending compliance enforcement actions</w:t>
      </w:r>
      <w:r w:rsidR="00AF1ACF">
        <w:t xml:space="preserve"> against financial institutio</w:t>
      </w:r>
      <w:r w:rsidR="000C0127">
        <w:t>ns and others (non-individuals)</w:t>
      </w:r>
      <w:r w:rsidRPr="00EA2DCE">
        <w:t xml:space="preserve">. </w:t>
      </w:r>
      <w:r w:rsidR="00676319">
        <w:t xml:space="preserve">Intended for educational purposes. </w:t>
      </w:r>
      <w:bookmarkStart w:id="0" w:name="_GoBack"/>
      <w:bookmarkEnd w:id="0"/>
      <w:r w:rsidRPr="00EA2DCE">
        <w:t xml:space="preserve">Not guaranteed to be comprehensive. </w:t>
      </w:r>
    </w:p>
    <w:p w:rsidR="00D027E7" w:rsidRDefault="00D027E7" w:rsidP="008F2671"/>
    <w:p w:rsidR="00D027E7" w:rsidRPr="00EA2DCE" w:rsidRDefault="00D3789E" w:rsidP="008F2671">
      <w:r>
        <w:t xml:space="preserve"> </w:t>
      </w:r>
    </w:p>
    <w:sectPr w:rsidR="00D027E7" w:rsidRPr="00EA2DCE" w:rsidSect="00FA658A">
      <w:headerReference w:type="default" r:id="rId48"/>
      <w:pgSz w:w="15840" w:h="12240" w:orient="landscape"/>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21" w:rsidRDefault="00DE7A21" w:rsidP="004D7A93">
      <w:pPr>
        <w:spacing w:after="0"/>
      </w:pPr>
      <w:r>
        <w:separator/>
      </w:r>
    </w:p>
  </w:endnote>
  <w:endnote w:type="continuationSeparator" w:id="0">
    <w:p w:rsidR="00DE7A21" w:rsidRDefault="00DE7A21" w:rsidP="004D7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21" w:rsidRDefault="00DE7A21" w:rsidP="004D7A93">
      <w:pPr>
        <w:spacing w:after="0"/>
      </w:pPr>
      <w:r>
        <w:separator/>
      </w:r>
    </w:p>
  </w:footnote>
  <w:footnote w:type="continuationSeparator" w:id="0">
    <w:p w:rsidR="00DE7A21" w:rsidRDefault="00DE7A21" w:rsidP="004D7A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5" w:rsidRDefault="00610FE5" w:rsidP="004D7A93">
    <w:pPr>
      <w:pStyle w:val="Header"/>
      <w:jc w:val="right"/>
    </w:pPr>
    <w:r w:rsidRPr="004A418B">
      <w:rPr>
        <w:noProof/>
      </w:rPr>
      <w:drawing>
        <wp:anchor distT="0" distB="0" distL="114300" distR="114300" simplePos="0" relativeHeight="251658240" behindDoc="0" locked="0" layoutInCell="1" allowOverlap="1" wp14:anchorId="7789D679" wp14:editId="7DF5E720">
          <wp:simplePos x="0" y="0"/>
          <wp:positionH relativeFrom="margin">
            <wp:align>left</wp:align>
          </wp:positionH>
          <wp:positionV relativeFrom="paragraph">
            <wp:posOffset>171450</wp:posOffset>
          </wp:positionV>
          <wp:extent cx="1685925" cy="423545"/>
          <wp:effectExtent l="0" t="0" r="0" b="0"/>
          <wp:wrapThrough wrapText="bothSides">
            <wp:wrapPolygon edited="0">
              <wp:start x="244" y="0"/>
              <wp:lineTo x="0" y="19430"/>
              <wp:lineTo x="2197" y="20402"/>
              <wp:lineTo x="3173" y="20402"/>
              <wp:lineTo x="21234" y="17487"/>
              <wp:lineTo x="21234" y="1943"/>
              <wp:lineTo x="5125" y="0"/>
              <wp:lineTo x="244" y="0"/>
            </wp:wrapPolygon>
          </wp:wrapThrough>
          <wp:docPr id="3" name="Picture 3" descr="C:\Users\Robin\AppData\Local\Microsoft\Windows\Temporary Internet Files\Content.Outlook\SZGTJ74S\CP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SZGTJ74S\CP_Logo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866" cy="42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0FE5" w:rsidRPr="001B4468" w:rsidRDefault="00610FE5" w:rsidP="001B4468">
    <w:pPr>
      <w:pStyle w:val="Header"/>
      <w:rPr>
        <w:rFonts w:ascii="Times New Roman" w:hAnsi="Times New Roman" w:cs="Times New Roman"/>
        <w:color w:val="1F3864" w:themeColor="accent5" w:themeShade="80"/>
        <w:sz w:val="26"/>
        <w:szCs w:val="26"/>
      </w:rPr>
    </w:pPr>
    <w:r>
      <w:rPr>
        <w:rFonts w:ascii="Arial" w:hAnsi="Arial" w:cs="Arial"/>
      </w:rPr>
      <w:tab/>
      <w:t xml:space="preserve">                                                                  </w:t>
    </w:r>
    <w:r w:rsidRPr="001B4468">
      <w:rPr>
        <w:rFonts w:ascii="Times New Roman" w:hAnsi="Times New Roman" w:cs="Times New Roman"/>
        <w:color w:val="1F3864" w:themeColor="accent5" w:themeShade="80"/>
        <w:sz w:val="26"/>
        <w:szCs w:val="26"/>
      </w:rPr>
      <w:t xml:space="preserve">LENDING </w:t>
    </w:r>
    <w:r>
      <w:rPr>
        <w:rFonts w:ascii="Times New Roman" w:hAnsi="Times New Roman" w:cs="Times New Roman"/>
        <w:color w:val="1F3864" w:themeColor="accent5" w:themeShade="80"/>
        <w:sz w:val="26"/>
        <w:szCs w:val="26"/>
      </w:rPr>
      <w:t xml:space="preserve">COMPLIANCE </w:t>
    </w:r>
    <w:r w:rsidRPr="001B4468">
      <w:rPr>
        <w:rFonts w:ascii="Times New Roman" w:hAnsi="Times New Roman" w:cs="Times New Roman"/>
        <w:color w:val="1F3864" w:themeColor="accent5" w:themeShade="80"/>
        <w:sz w:val="26"/>
        <w:szCs w:val="26"/>
      </w:rPr>
      <w:t xml:space="preserve">ENFORCEMENT </w:t>
    </w:r>
    <w:r>
      <w:rPr>
        <w:rFonts w:ascii="Times New Roman" w:hAnsi="Times New Roman" w:cs="Times New Roman"/>
        <w:color w:val="1F3864" w:themeColor="accent5" w:themeShade="80"/>
        <w:sz w:val="26"/>
        <w:szCs w:val="26"/>
      </w:rPr>
      <w:t>A</w:t>
    </w:r>
    <w:r w:rsidRPr="001B4468">
      <w:rPr>
        <w:rFonts w:ascii="Times New Roman" w:hAnsi="Times New Roman" w:cs="Times New Roman"/>
        <w:color w:val="1F3864" w:themeColor="accent5" w:themeShade="80"/>
        <w:sz w:val="26"/>
        <w:szCs w:val="26"/>
      </w:rPr>
      <w:t xml:space="preserve">CTIONS </w:t>
    </w:r>
  </w:p>
  <w:p w:rsidR="00610FE5" w:rsidRPr="001B4468" w:rsidRDefault="00610FE5" w:rsidP="004D7A93">
    <w:pPr>
      <w:pStyle w:val="Header"/>
      <w:jc w:val="right"/>
      <w:rPr>
        <w:rFonts w:ascii="Arial" w:hAnsi="Arial" w:cs="Arial"/>
        <w:color w:val="1F3864" w:themeColor="accent5" w:themeShade="80"/>
      </w:rPr>
    </w:pPr>
    <w:r>
      <w:rPr>
        <w:rFonts w:ascii="Times New Roman" w:hAnsi="Times New Roman" w:cs="Times New Roman"/>
        <w:color w:val="1F3864" w:themeColor="accent5" w:themeShade="80"/>
        <w:sz w:val="26"/>
        <w:szCs w:val="26"/>
      </w:rPr>
      <w:tab/>
    </w:r>
    <w:r>
      <w:rPr>
        <w:rFonts w:ascii="Times New Roman" w:hAnsi="Times New Roman" w:cs="Times New Roman"/>
        <w:color w:val="1F3864" w:themeColor="accent5" w:themeShade="80"/>
        <w:sz w:val="26"/>
        <w:szCs w:val="26"/>
      </w:rPr>
      <w:tab/>
    </w:r>
    <w:r>
      <w:rPr>
        <w:rFonts w:ascii="Times New Roman" w:hAnsi="Times New Roman" w:cs="Times New Roman"/>
        <w:color w:val="1F3864" w:themeColor="accent5" w:themeShade="80"/>
        <w:sz w:val="26"/>
        <w:szCs w:val="26"/>
      </w:rPr>
      <w:tab/>
      <w:t>Through 12/31</w:t>
    </w:r>
    <w:r w:rsidRPr="001B4468">
      <w:rPr>
        <w:rFonts w:ascii="Times New Roman" w:hAnsi="Times New Roman" w:cs="Times New Roman"/>
        <w:color w:val="1F3864" w:themeColor="accent5" w:themeShade="80"/>
        <w:sz w:val="26"/>
        <w:szCs w:val="26"/>
      </w:rPr>
      <w:t>/18</w:t>
    </w:r>
    <w:r>
      <w:rPr>
        <w:rFonts w:ascii="Times New Roman" w:hAnsi="Times New Roman" w:cs="Times New Roman"/>
        <w:color w:val="1F3864" w:themeColor="accent5" w:themeShade="80"/>
        <w:sz w:val="26"/>
        <w:szCs w:val="26"/>
      </w:rPr>
      <w:t>*</w:t>
    </w:r>
  </w:p>
  <w:p w:rsidR="00610FE5" w:rsidRDefault="0061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33C"/>
    <w:multiLevelType w:val="hybridMultilevel"/>
    <w:tmpl w:val="F916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F2205"/>
    <w:multiLevelType w:val="hybridMultilevel"/>
    <w:tmpl w:val="9326B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64675"/>
    <w:multiLevelType w:val="hybridMultilevel"/>
    <w:tmpl w:val="2DC4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1367C"/>
    <w:multiLevelType w:val="hybridMultilevel"/>
    <w:tmpl w:val="FBA0E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0102FF"/>
    <w:multiLevelType w:val="hybridMultilevel"/>
    <w:tmpl w:val="4F946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212405"/>
    <w:multiLevelType w:val="hybridMultilevel"/>
    <w:tmpl w:val="FBCC4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26B1D"/>
    <w:multiLevelType w:val="hybridMultilevel"/>
    <w:tmpl w:val="4DCE4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CA111B"/>
    <w:multiLevelType w:val="hybridMultilevel"/>
    <w:tmpl w:val="E004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1D112E"/>
    <w:multiLevelType w:val="hybridMultilevel"/>
    <w:tmpl w:val="974A9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8A6C12"/>
    <w:multiLevelType w:val="hybridMultilevel"/>
    <w:tmpl w:val="64A0D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5E5411"/>
    <w:multiLevelType w:val="hybridMultilevel"/>
    <w:tmpl w:val="98C08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9"/>
  </w:num>
  <w:num w:numId="6">
    <w:abstractNumId w:val="2"/>
  </w:num>
  <w:num w:numId="7">
    <w:abstractNumId w:val="3"/>
  </w:num>
  <w:num w:numId="8">
    <w:abstractNumId w:val="7"/>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93"/>
    <w:rsid w:val="00010C23"/>
    <w:rsid w:val="00025C70"/>
    <w:rsid w:val="00085D36"/>
    <w:rsid w:val="000B1955"/>
    <w:rsid w:val="000C0127"/>
    <w:rsid w:val="0010089B"/>
    <w:rsid w:val="00107138"/>
    <w:rsid w:val="001245E1"/>
    <w:rsid w:val="00124730"/>
    <w:rsid w:val="0018230A"/>
    <w:rsid w:val="00192EA0"/>
    <w:rsid w:val="001A0C5C"/>
    <w:rsid w:val="001B4468"/>
    <w:rsid w:val="001B517C"/>
    <w:rsid w:val="001F520F"/>
    <w:rsid w:val="001F6226"/>
    <w:rsid w:val="0024548B"/>
    <w:rsid w:val="002B306C"/>
    <w:rsid w:val="002E2B7F"/>
    <w:rsid w:val="00325F6F"/>
    <w:rsid w:val="003318BE"/>
    <w:rsid w:val="00344607"/>
    <w:rsid w:val="003451C9"/>
    <w:rsid w:val="003556C1"/>
    <w:rsid w:val="00376BBE"/>
    <w:rsid w:val="00384E47"/>
    <w:rsid w:val="00396154"/>
    <w:rsid w:val="003C142E"/>
    <w:rsid w:val="003E61C0"/>
    <w:rsid w:val="003F35E7"/>
    <w:rsid w:val="00403C5F"/>
    <w:rsid w:val="00463DDD"/>
    <w:rsid w:val="004D559E"/>
    <w:rsid w:val="004D7A93"/>
    <w:rsid w:val="004F0404"/>
    <w:rsid w:val="005046B0"/>
    <w:rsid w:val="00525D78"/>
    <w:rsid w:val="00534EB1"/>
    <w:rsid w:val="00555320"/>
    <w:rsid w:val="005D2195"/>
    <w:rsid w:val="005D4D86"/>
    <w:rsid w:val="005E2CE9"/>
    <w:rsid w:val="005F2360"/>
    <w:rsid w:val="005F704C"/>
    <w:rsid w:val="00610FE5"/>
    <w:rsid w:val="006544E0"/>
    <w:rsid w:val="00676319"/>
    <w:rsid w:val="00695F01"/>
    <w:rsid w:val="006D2882"/>
    <w:rsid w:val="006D6916"/>
    <w:rsid w:val="007135BF"/>
    <w:rsid w:val="00724EA0"/>
    <w:rsid w:val="00770D84"/>
    <w:rsid w:val="007F431B"/>
    <w:rsid w:val="00843A9D"/>
    <w:rsid w:val="00860CFF"/>
    <w:rsid w:val="008B6968"/>
    <w:rsid w:val="008D1B52"/>
    <w:rsid w:val="008F2671"/>
    <w:rsid w:val="00906147"/>
    <w:rsid w:val="009616B0"/>
    <w:rsid w:val="009828C3"/>
    <w:rsid w:val="009A68A7"/>
    <w:rsid w:val="009B30AE"/>
    <w:rsid w:val="009B72F1"/>
    <w:rsid w:val="009B7D3A"/>
    <w:rsid w:val="009E1F5D"/>
    <w:rsid w:val="009E3BAA"/>
    <w:rsid w:val="009E6342"/>
    <w:rsid w:val="009F082C"/>
    <w:rsid w:val="00A040D3"/>
    <w:rsid w:val="00AB4587"/>
    <w:rsid w:val="00AD56C0"/>
    <w:rsid w:val="00AF1ACF"/>
    <w:rsid w:val="00AF667B"/>
    <w:rsid w:val="00B3371C"/>
    <w:rsid w:val="00B36CD8"/>
    <w:rsid w:val="00B37A8E"/>
    <w:rsid w:val="00B81F61"/>
    <w:rsid w:val="00B90D6C"/>
    <w:rsid w:val="00BA3509"/>
    <w:rsid w:val="00BA4592"/>
    <w:rsid w:val="00BB001D"/>
    <w:rsid w:val="00BB2ABF"/>
    <w:rsid w:val="00BD1F77"/>
    <w:rsid w:val="00BF7A4B"/>
    <w:rsid w:val="00C22BCC"/>
    <w:rsid w:val="00C46464"/>
    <w:rsid w:val="00C53D35"/>
    <w:rsid w:val="00C54BEA"/>
    <w:rsid w:val="00C77E9E"/>
    <w:rsid w:val="00C81E21"/>
    <w:rsid w:val="00CB762B"/>
    <w:rsid w:val="00CC7A85"/>
    <w:rsid w:val="00CD0651"/>
    <w:rsid w:val="00CD3FD6"/>
    <w:rsid w:val="00CD7F5C"/>
    <w:rsid w:val="00D027E7"/>
    <w:rsid w:val="00D10044"/>
    <w:rsid w:val="00D3789E"/>
    <w:rsid w:val="00D462C2"/>
    <w:rsid w:val="00D517D4"/>
    <w:rsid w:val="00DC44AD"/>
    <w:rsid w:val="00DC595F"/>
    <w:rsid w:val="00DE7A21"/>
    <w:rsid w:val="00DF313F"/>
    <w:rsid w:val="00DF7207"/>
    <w:rsid w:val="00E215BA"/>
    <w:rsid w:val="00E8691C"/>
    <w:rsid w:val="00E96AF3"/>
    <w:rsid w:val="00EA2DCE"/>
    <w:rsid w:val="00EB5F1A"/>
    <w:rsid w:val="00EE3B88"/>
    <w:rsid w:val="00EF411E"/>
    <w:rsid w:val="00F06BD9"/>
    <w:rsid w:val="00F96BCE"/>
    <w:rsid w:val="00F9737E"/>
    <w:rsid w:val="00FA658A"/>
    <w:rsid w:val="00FB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9140E-CC87-4D83-AF1F-42E251D7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B1"/>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A93"/>
    <w:pPr>
      <w:tabs>
        <w:tab w:val="center" w:pos="4680"/>
        <w:tab w:val="right" w:pos="9360"/>
      </w:tabs>
      <w:spacing w:after="0"/>
    </w:pPr>
  </w:style>
  <w:style w:type="character" w:customStyle="1" w:styleId="HeaderChar">
    <w:name w:val="Header Char"/>
    <w:basedOn w:val="DefaultParagraphFont"/>
    <w:link w:val="Header"/>
    <w:uiPriority w:val="99"/>
    <w:rsid w:val="004D7A93"/>
  </w:style>
  <w:style w:type="paragraph" w:styleId="Footer">
    <w:name w:val="footer"/>
    <w:basedOn w:val="Normal"/>
    <w:link w:val="FooterChar"/>
    <w:uiPriority w:val="99"/>
    <w:unhideWhenUsed/>
    <w:rsid w:val="004D7A93"/>
    <w:pPr>
      <w:tabs>
        <w:tab w:val="center" w:pos="4680"/>
        <w:tab w:val="right" w:pos="9360"/>
      </w:tabs>
      <w:spacing w:after="0"/>
    </w:pPr>
  </w:style>
  <w:style w:type="character" w:customStyle="1" w:styleId="FooterChar">
    <w:name w:val="Footer Char"/>
    <w:basedOn w:val="DefaultParagraphFont"/>
    <w:link w:val="Footer"/>
    <w:uiPriority w:val="99"/>
    <w:rsid w:val="004D7A93"/>
  </w:style>
  <w:style w:type="character" w:styleId="Hyperlink">
    <w:name w:val="Hyperlink"/>
    <w:basedOn w:val="DefaultParagraphFont"/>
    <w:uiPriority w:val="99"/>
    <w:unhideWhenUsed/>
    <w:rsid w:val="00FA658A"/>
    <w:rPr>
      <w:color w:val="0563C1" w:themeColor="hyperlink"/>
      <w:u w:val="single"/>
    </w:rPr>
  </w:style>
  <w:style w:type="paragraph" w:styleId="ListParagraph">
    <w:name w:val="List Paragraph"/>
    <w:basedOn w:val="Normal"/>
    <w:uiPriority w:val="34"/>
    <w:qFormat/>
    <w:rsid w:val="00085D36"/>
    <w:pPr>
      <w:ind w:left="720"/>
    </w:pPr>
  </w:style>
  <w:style w:type="character" w:styleId="FollowedHyperlink">
    <w:name w:val="FollowedHyperlink"/>
    <w:basedOn w:val="DefaultParagraphFont"/>
    <w:uiPriority w:val="99"/>
    <w:semiHidden/>
    <w:unhideWhenUsed/>
    <w:rsid w:val="004F0404"/>
    <w:rPr>
      <w:color w:val="954F72" w:themeColor="followedHyperlink"/>
      <w:u w:val="single"/>
    </w:rPr>
  </w:style>
  <w:style w:type="table" w:styleId="MediumList2-Accent1">
    <w:name w:val="Medium List 2 Accent 1"/>
    <w:basedOn w:val="TableNormal"/>
    <w:uiPriority w:val="66"/>
    <w:rsid w:val="00E96A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6638">
      <w:bodyDiv w:val="1"/>
      <w:marLeft w:val="0"/>
      <w:marRight w:val="0"/>
      <w:marTop w:val="0"/>
      <w:marBottom w:val="0"/>
      <w:divBdr>
        <w:top w:val="none" w:sz="0" w:space="0" w:color="auto"/>
        <w:left w:val="none" w:sz="0" w:space="0" w:color="auto"/>
        <w:bottom w:val="none" w:sz="0" w:space="0" w:color="auto"/>
        <w:right w:val="none" w:sz="0" w:space="0" w:color="auto"/>
      </w:divBdr>
      <w:divsChild>
        <w:div w:id="300575378">
          <w:marLeft w:val="0"/>
          <w:marRight w:val="0"/>
          <w:marTop w:val="0"/>
          <w:marBottom w:val="0"/>
          <w:divBdr>
            <w:top w:val="none" w:sz="0" w:space="0" w:color="auto"/>
            <w:left w:val="none" w:sz="0" w:space="0" w:color="auto"/>
            <w:bottom w:val="none" w:sz="0" w:space="0" w:color="auto"/>
            <w:right w:val="none" w:sz="0" w:space="0" w:color="auto"/>
          </w:divBdr>
          <w:divsChild>
            <w:div w:id="1378357561">
              <w:marLeft w:val="0"/>
              <w:marRight w:val="0"/>
              <w:marTop w:val="0"/>
              <w:marBottom w:val="0"/>
              <w:divBdr>
                <w:top w:val="none" w:sz="0" w:space="0" w:color="auto"/>
                <w:left w:val="none" w:sz="0" w:space="0" w:color="auto"/>
                <w:bottom w:val="none" w:sz="0" w:space="0" w:color="auto"/>
                <w:right w:val="none" w:sz="0" w:space="0" w:color="auto"/>
              </w:divBdr>
            </w:div>
            <w:div w:id="1568609669">
              <w:marLeft w:val="0"/>
              <w:marRight w:val="0"/>
              <w:marTop w:val="0"/>
              <w:marBottom w:val="0"/>
              <w:divBdr>
                <w:top w:val="none" w:sz="0" w:space="0" w:color="auto"/>
                <w:left w:val="none" w:sz="0" w:space="0" w:color="auto"/>
                <w:bottom w:val="none" w:sz="0" w:space="0" w:color="auto"/>
                <w:right w:val="none" w:sz="0" w:space="0" w:color="auto"/>
              </w:divBdr>
              <w:divsChild>
                <w:div w:id="107420342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47979062">
          <w:marLeft w:val="0"/>
          <w:marRight w:val="0"/>
          <w:marTop w:val="0"/>
          <w:marBottom w:val="0"/>
          <w:divBdr>
            <w:top w:val="none" w:sz="0" w:space="0" w:color="auto"/>
            <w:left w:val="none" w:sz="0" w:space="0" w:color="auto"/>
            <w:bottom w:val="none" w:sz="0" w:space="0" w:color="auto"/>
            <w:right w:val="none" w:sz="0" w:space="0" w:color="auto"/>
          </w:divBdr>
          <w:divsChild>
            <w:div w:id="405961098">
              <w:marLeft w:val="0"/>
              <w:marRight w:val="0"/>
              <w:marTop w:val="0"/>
              <w:marBottom w:val="0"/>
              <w:divBdr>
                <w:top w:val="none" w:sz="0" w:space="0" w:color="auto"/>
                <w:left w:val="none" w:sz="0" w:space="0" w:color="auto"/>
                <w:bottom w:val="none" w:sz="0" w:space="0" w:color="auto"/>
                <w:right w:val="none" w:sz="0" w:space="0" w:color="auto"/>
              </w:divBdr>
            </w:div>
            <w:div w:id="201215022">
              <w:marLeft w:val="0"/>
              <w:marRight w:val="0"/>
              <w:marTop w:val="0"/>
              <w:marBottom w:val="0"/>
              <w:divBdr>
                <w:top w:val="none" w:sz="0" w:space="0" w:color="auto"/>
                <w:left w:val="none" w:sz="0" w:space="0" w:color="auto"/>
                <w:bottom w:val="none" w:sz="0" w:space="0" w:color="auto"/>
                <w:right w:val="none" w:sz="0" w:space="0" w:color="auto"/>
              </w:divBdr>
              <w:divsChild>
                <w:div w:id="158823119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82212507">
      <w:bodyDiv w:val="1"/>
      <w:marLeft w:val="0"/>
      <w:marRight w:val="0"/>
      <w:marTop w:val="0"/>
      <w:marBottom w:val="0"/>
      <w:divBdr>
        <w:top w:val="none" w:sz="0" w:space="0" w:color="auto"/>
        <w:left w:val="none" w:sz="0" w:space="0" w:color="auto"/>
        <w:bottom w:val="none" w:sz="0" w:space="0" w:color="auto"/>
        <w:right w:val="none" w:sz="0" w:space="0" w:color="auto"/>
      </w:divBdr>
      <w:divsChild>
        <w:div w:id="1761830023">
          <w:marLeft w:val="0"/>
          <w:marRight w:val="0"/>
          <w:marTop w:val="0"/>
          <w:marBottom w:val="0"/>
          <w:divBdr>
            <w:top w:val="none" w:sz="0" w:space="0" w:color="auto"/>
            <w:left w:val="none" w:sz="0" w:space="0" w:color="auto"/>
            <w:bottom w:val="none" w:sz="0" w:space="0" w:color="auto"/>
            <w:right w:val="none" w:sz="0" w:space="0" w:color="auto"/>
          </w:divBdr>
          <w:divsChild>
            <w:div w:id="801196520">
              <w:marLeft w:val="0"/>
              <w:marRight w:val="0"/>
              <w:marTop w:val="0"/>
              <w:marBottom w:val="0"/>
              <w:divBdr>
                <w:top w:val="none" w:sz="0" w:space="0" w:color="auto"/>
                <w:left w:val="none" w:sz="0" w:space="0" w:color="auto"/>
                <w:bottom w:val="none" w:sz="0" w:space="0" w:color="auto"/>
                <w:right w:val="none" w:sz="0" w:space="0" w:color="auto"/>
              </w:divBdr>
              <w:divsChild>
                <w:div w:id="296958471">
                  <w:marLeft w:val="0"/>
                  <w:marRight w:val="0"/>
                  <w:marTop w:val="0"/>
                  <w:marBottom w:val="0"/>
                  <w:divBdr>
                    <w:top w:val="none" w:sz="0" w:space="0" w:color="auto"/>
                    <w:left w:val="none" w:sz="0" w:space="0" w:color="auto"/>
                    <w:bottom w:val="none" w:sz="0" w:space="0" w:color="auto"/>
                    <w:right w:val="none" w:sz="0" w:space="0" w:color="auto"/>
                  </w:divBdr>
                  <w:divsChild>
                    <w:div w:id="1179201343">
                      <w:marLeft w:val="0"/>
                      <w:marRight w:val="0"/>
                      <w:marTop w:val="0"/>
                      <w:marBottom w:val="0"/>
                      <w:divBdr>
                        <w:top w:val="none" w:sz="0" w:space="0" w:color="auto"/>
                        <w:left w:val="none" w:sz="0" w:space="0" w:color="auto"/>
                        <w:bottom w:val="none" w:sz="0" w:space="0" w:color="auto"/>
                        <w:right w:val="none" w:sz="0" w:space="0" w:color="auto"/>
                      </w:divBdr>
                      <w:divsChild>
                        <w:div w:id="1692759494">
                          <w:marLeft w:val="0"/>
                          <w:marRight w:val="0"/>
                          <w:marTop w:val="0"/>
                          <w:marBottom w:val="0"/>
                          <w:divBdr>
                            <w:top w:val="none" w:sz="0" w:space="0" w:color="auto"/>
                            <w:left w:val="none" w:sz="0" w:space="0" w:color="auto"/>
                            <w:bottom w:val="none" w:sz="0" w:space="0" w:color="auto"/>
                            <w:right w:val="none" w:sz="0" w:space="0" w:color="auto"/>
                          </w:divBdr>
                          <w:divsChild>
                            <w:div w:id="12922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1392">
      <w:bodyDiv w:val="1"/>
      <w:marLeft w:val="0"/>
      <w:marRight w:val="0"/>
      <w:marTop w:val="0"/>
      <w:marBottom w:val="0"/>
      <w:divBdr>
        <w:top w:val="none" w:sz="0" w:space="0" w:color="auto"/>
        <w:left w:val="none" w:sz="0" w:space="0" w:color="auto"/>
        <w:bottom w:val="none" w:sz="0" w:space="0" w:color="auto"/>
        <w:right w:val="none" w:sz="0" w:space="0" w:color="auto"/>
      </w:divBdr>
      <w:divsChild>
        <w:div w:id="993795276">
          <w:marLeft w:val="0"/>
          <w:marRight w:val="0"/>
          <w:marTop w:val="0"/>
          <w:marBottom w:val="0"/>
          <w:divBdr>
            <w:top w:val="none" w:sz="0" w:space="0" w:color="auto"/>
            <w:left w:val="none" w:sz="0" w:space="0" w:color="auto"/>
            <w:bottom w:val="none" w:sz="0" w:space="0" w:color="auto"/>
            <w:right w:val="none" w:sz="0" w:space="0" w:color="auto"/>
          </w:divBdr>
          <w:divsChild>
            <w:div w:id="84769931">
              <w:marLeft w:val="0"/>
              <w:marRight w:val="0"/>
              <w:marTop w:val="0"/>
              <w:marBottom w:val="0"/>
              <w:divBdr>
                <w:top w:val="none" w:sz="0" w:space="0" w:color="auto"/>
                <w:left w:val="none" w:sz="0" w:space="0" w:color="auto"/>
                <w:bottom w:val="none" w:sz="0" w:space="0" w:color="auto"/>
                <w:right w:val="none" w:sz="0" w:space="0" w:color="auto"/>
              </w:divBdr>
            </w:div>
            <w:div w:id="457722253">
              <w:marLeft w:val="0"/>
              <w:marRight w:val="0"/>
              <w:marTop w:val="0"/>
              <w:marBottom w:val="0"/>
              <w:divBdr>
                <w:top w:val="none" w:sz="0" w:space="0" w:color="auto"/>
                <w:left w:val="none" w:sz="0" w:space="0" w:color="auto"/>
                <w:bottom w:val="none" w:sz="0" w:space="0" w:color="auto"/>
                <w:right w:val="none" w:sz="0" w:space="0" w:color="auto"/>
              </w:divBdr>
              <w:divsChild>
                <w:div w:id="19700805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056007">
          <w:marLeft w:val="0"/>
          <w:marRight w:val="0"/>
          <w:marTop w:val="0"/>
          <w:marBottom w:val="0"/>
          <w:divBdr>
            <w:top w:val="none" w:sz="0" w:space="0" w:color="auto"/>
            <w:left w:val="none" w:sz="0" w:space="0" w:color="auto"/>
            <w:bottom w:val="none" w:sz="0" w:space="0" w:color="auto"/>
            <w:right w:val="none" w:sz="0" w:space="0" w:color="auto"/>
          </w:divBdr>
          <w:divsChild>
            <w:div w:id="1614284543">
              <w:marLeft w:val="0"/>
              <w:marRight w:val="0"/>
              <w:marTop w:val="0"/>
              <w:marBottom w:val="0"/>
              <w:divBdr>
                <w:top w:val="none" w:sz="0" w:space="0" w:color="auto"/>
                <w:left w:val="none" w:sz="0" w:space="0" w:color="auto"/>
                <w:bottom w:val="none" w:sz="0" w:space="0" w:color="auto"/>
                <w:right w:val="none" w:sz="0" w:space="0" w:color="auto"/>
              </w:divBdr>
            </w:div>
            <w:div w:id="106586791">
              <w:marLeft w:val="0"/>
              <w:marRight w:val="0"/>
              <w:marTop w:val="0"/>
              <w:marBottom w:val="0"/>
              <w:divBdr>
                <w:top w:val="none" w:sz="0" w:space="0" w:color="auto"/>
                <w:left w:val="none" w:sz="0" w:space="0" w:color="auto"/>
                <w:bottom w:val="none" w:sz="0" w:space="0" w:color="auto"/>
                <w:right w:val="none" w:sz="0" w:space="0" w:color="auto"/>
              </w:divBdr>
              <w:divsChild>
                <w:div w:id="203445810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22025931">
      <w:bodyDiv w:val="1"/>
      <w:marLeft w:val="0"/>
      <w:marRight w:val="0"/>
      <w:marTop w:val="0"/>
      <w:marBottom w:val="0"/>
      <w:divBdr>
        <w:top w:val="none" w:sz="0" w:space="0" w:color="auto"/>
        <w:left w:val="none" w:sz="0" w:space="0" w:color="auto"/>
        <w:bottom w:val="none" w:sz="0" w:space="0" w:color="auto"/>
        <w:right w:val="none" w:sz="0" w:space="0" w:color="auto"/>
      </w:divBdr>
    </w:div>
    <w:div w:id="1635401223">
      <w:bodyDiv w:val="1"/>
      <w:marLeft w:val="0"/>
      <w:marRight w:val="0"/>
      <w:marTop w:val="0"/>
      <w:marBottom w:val="0"/>
      <w:divBdr>
        <w:top w:val="none" w:sz="0" w:space="0" w:color="auto"/>
        <w:left w:val="none" w:sz="0" w:space="0" w:color="auto"/>
        <w:bottom w:val="none" w:sz="0" w:space="0" w:color="auto"/>
        <w:right w:val="none" w:sz="0" w:space="0" w:color="auto"/>
      </w:divBdr>
    </w:div>
    <w:div w:id="1742630213">
      <w:bodyDiv w:val="1"/>
      <w:marLeft w:val="0"/>
      <w:marRight w:val="0"/>
      <w:marTop w:val="0"/>
      <w:marBottom w:val="0"/>
      <w:divBdr>
        <w:top w:val="none" w:sz="0" w:space="0" w:color="auto"/>
        <w:left w:val="none" w:sz="0" w:space="0" w:color="auto"/>
        <w:bottom w:val="none" w:sz="0" w:space="0" w:color="auto"/>
        <w:right w:val="none" w:sz="0" w:space="0" w:color="auto"/>
      </w:divBdr>
      <w:divsChild>
        <w:div w:id="399401518">
          <w:marLeft w:val="0"/>
          <w:marRight w:val="0"/>
          <w:marTop w:val="0"/>
          <w:marBottom w:val="0"/>
          <w:divBdr>
            <w:top w:val="none" w:sz="0" w:space="0" w:color="auto"/>
            <w:left w:val="none" w:sz="0" w:space="0" w:color="auto"/>
            <w:bottom w:val="none" w:sz="0" w:space="0" w:color="auto"/>
            <w:right w:val="none" w:sz="0" w:space="0" w:color="auto"/>
          </w:divBdr>
          <w:divsChild>
            <w:div w:id="1210528592">
              <w:marLeft w:val="0"/>
              <w:marRight w:val="0"/>
              <w:marTop w:val="0"/>
              <w:marBottom w:val="0"/>
              <w:divBdr>
                <w:top w:val="none" w:sz="0" w:space="0" w:color="auto"/>
                <w:left w:val="none" w:sz="0" w:space="0" w:color="auto"/>
                <w:bottom w:val="none" w:sz="0" w:space="0" w:color="auto"/>
                <w:right w:val="none" w:sz="0" w:space="0" w:color="auto"/>
              </w:divBdr>
            </w:div>
            <w:div w:id="1769421308">
              <w:marLeft w:val="0"/>
              <w:marRight w:val="0"/>
              <w:marTop w:val="0"/>
              <w:marBottom w:val="0"/>
              <w:divBdr>
                <w:top w:val="none" w:sz="0" w:space="0" w:color="auto"/>
                <w:left w:val="none" w:sz="0" w:space="0" w:color="auto"/>
                <w:bottom w:val="none" w:sz="0" w:space="0" w:color="auto"/>
                <w:right w:val="none" w:sz="0" w:space="0" w:color="auto"/>
              </w:divBdr>
              <w:divsChild>
                <w:div w:id="4776499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68185688">
          <w:marLeft w:val="0"/>
          <w:marRight w:val="0"/>
          <w:marTop w:val="0"/>
          <w:marBottom w:val="0"/>
          <w:divBdr>
            <w:top w:val="none" w:sz="0" w:space="0" w:color="auto"/>
            <w:left w:val="none" w:sz="0" w:space="0" w:color="auto"/>
            <w:bottom w:val="none" w:sz="0" w:space="0" w:color="auto"/>
            <w:right w:val="none" w:sz="0" w:space="0" w:color="auto"/>
          </w:divBdr>
          <w:divsChild>
            <w:div w:id="829758239">
              <w:marLeft w:val="0"/>
              <w:marRight w:val="0"/>
              <w:marTop w:val="0"/>
              <w:marBottom w:val="0"/>
              <w:divBdr>
                <w:top w:val="none" w:sz="0" w:space="0" w:color="auto"/>
                <w:left w:val="none" w:sz="0" w:space="0" w:color="auto"/>
                <w:bottom w:val="none" w:sz="0" w:space="0" w:color="auto"/>
                <w:right w:val="none" w:sz="0" w:space="0" w:color="auto"/>
              </w:divBdr>
            </w:div>
            <w:div w:id="479427135">
              <w:marLeft w:val="0"/>
              <w:marRight w:val="0"/>
              <w:marTop w:val="0"/>
              <w:marBottom w:val="0"/>
              <w:divBdr>
                <w:top w:val="none" w:sz="0" w:space="0" w:color="auto"/>
                <w:left w:val="none" w:sz="0" w:space="0" w:color="auto"/>
                <w:bottom w:val="none" w:sz="0" w:space="0" w:color="auto"/>
                <w:right w:val="none" w:sz="0" w:space="0" w:color="auto"/>
              </w:divBdr>
              <w:divsChild>
                <w:div w:id="29564210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49979793">
      <w:bodyDiv w:val="1"/>
      <w:marLeft w:val="0"/>
      <w:marRight w:val="0"/>
      <w:marTop w:val="0"/>
      <w:marBottom w:val="0"/>
      <w:divBdr>
        <w:top w:val="none" w:sz="0" w:space="0" w:color="auto"/>
        <w:left w:val="none" w:sz="0" w:space="0" w:color="auto"/>
        <w:bottom w:val="none" w:sz="0" w:space="0" w:color="auto"/>
        <w:right w:val="none" w:sz="0" w:space="0" w:color="auto"/>
      </w:divBdr>
      <w:divsChild>
        <w:div w:id="763651773">
          <w:marLeft w:val="0"/>
          <w:marRight w:val="0"/>
          <w:marTop w:val="0"/>
          <w:marBottom w:val="0"/>
          <w:divBdr>
            <w:top w:val="none" w:sz="0" w:space="0" w:color="auto"/>
            <w:left w:val="none" w:sz="0" w:space="0" w:color="auto"/>
            <w:bottom w:val="none" w:sz="0" w:space="0" w:color="auto"/>
            <w:right w:val="none" w:sz="0" w:space="0" w:color="auto"/>
          </w:divBdr>
          <w:divsChild>
            <w:div w:id="997153831">
              <w:marLeft w:val="0"/>
              <w:marRight w:val="0"/>
              <w:marTop w:val="0"/>
              <w:marBottom w:val="0"/>
              <w:divBdr>
                <w:top w:val="none" w:sz="0" w:space="0" w:color="auto"/>
                <w:left w:val="none" w:sz="0" w:space="0" w:color="auto"/>
                <w:bottom w:val="none" w:sz="0" w:space="0" w:color="auto"/>
                <w:right w:val="none" w:sz="0" w:space="0" w:color="auto"/>
              </w:divBdr>
            </w:div>
            <w:div w:id="2106418047">
              <w:marLeft w:val="0"/>
              <w:marRight w:val="0"/>
              <w:marTop w:val="0"/>
              <w:marBottom w:val="0"/>
              <w:divBdr>
                <w:top w:val="none" w:sz="0" w:space="0" w:color="auto"/>
                <w:left w:val="none" w:sz="0" w:space="0" w:color="auto"/>
                <w:bottom w:val="none" w:sz="0" w:space="0" w:color="auto"/>
                <w:right w:val="none" w:sz="0" w:space="0" w:color="auto"/>
              </w:divBdr>
              <w:divsChild>
                <w:div w:id="161887262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74121677">
          <w:marLeft w:val="0"/>
          <w:marRight w:val="0"/>
          <w:marTop w:val="0"/>
          <w:marBottom w:val="0"/>
          <w:divBdr>
            <w:top w:val="none" w:sz="0" w:space="0" w:color="auto"/>
            <w:left w:val="none" w:sz="0" w:space="0" w:color="auto"/>
            <w:bottom w:val="none" w:sz="0" w:space="0" w:color="auto"/>
            <w:right w:val="none" w:sz="0" w:space="0" w:color="auto"/>
          </w:divBdr>
          <w:divsChild>
            <w:div w:id="388385030">
              <w:marLeft w:val="0"/>
              <w:marRight w:val="0"/>
              <w:marTop w:val="0"/>
              <w:marBottom w:val="0"/>
              <w:divBdr>
                <w:top w:val="none" w:sz="0" w:space="0" w:color="auto"/>
                <w:left w:val="none" w:sz="0" w:space="0" w:color="auto"/>
                <w:bottom w:val="none" w:sz="0" w:space="0" w:color="auto"/>
                <w:right w:val="none" w:sz="0" w:space="0" w:color="auto"/>
              </w:divBdr>
            </w:div>
            <w:div w:id="79915620">
              <w:marLeft w:val="0"/>
              <w:marRight w:val="0"/>
              <w:marTop w:val="0"/>
              <w:marBottom w:val="0"/>
              <w:divBdr>
                <w:top w:val="none" w:sz="0" w:space="0" w:color="auto"/>
                <w:left w:val="none" w:sz="0" w:space="0" w:color="auto"/>
                <w:bottom w:val="none" w:sz="0" w:space="0" w:color="auto"/>
                <w:right w:val="none" w:sz="0" w:space="0" w:color="auto"/>
              </w:divBdr>
              <w:divsChild>
                <w:div w:id="207789421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98819310">
      <w:bodyDiv w:val="1"/>
      <w:marLeft w:val="0"/>
      <w:marRight w:val="0"/>
      <w:marTop w:val="0"/>
      <w:marBottom w:val="0"/>
      <w:divBdr>
        <w:top w:val="none" w:sz="0" w:space="0" w:color="auto"/>
        <w:left w:val="none" w:sz="0" w:space="0" w:color="auto"/>
        <w:bottom w:val="none" w:sz="0" w:space="0" w:color="auto"/>
        <w:right w:val="none" w:sz="0" w:space="0" w:color="auto"/>
      </w:divBdr>
      <w:divsChild>
        <w:div w:id="538125115">
          <w:marLeft w:val="0"/>
          <w:marRight w:val="0"/>
          <w:marTop w:val="0"/>
          <w:marBottom w:val="0"/>
          <w:divBdr>
            <w:top w:val="none" w:sz="0" w:space="0" w:color="auto"/>
            <w:left w:val="none" w:sz="0" w:space="0" w:color="auto"/>
            <w:bottom w:val="none" w:sz="0" w:space="0" w:color="auto"/>
            <w:right w:val="none" w:sz="0" w:space="0" w:color="auto"/>
          </w:divBdr>
          <w:divsChild>
            <w:div w:id="455490947">
              <w:marLeft w:val="0"/>
              <w:marRight w:val="0"/>
              <w:marTop w:val="0"/>
              <w:marBottom w:val="0"/>
              <w:divBdr>
                <w:top w:val="none" w:sz="0" w:space="0" w:color="auto"/>
                <w:left w:val="none" w:sz="0" w:space="0" w:color="auto"/>
                <w:bottom w:val="none" w:sz="0" w:space="0" w:color="auto"/>
                <w:right w:val="none" w:sz="0" w:space="0" w:color="auto"/>
              </w:divBdr>
            </w:div>
            <w:div w:id="2141608784">
              <w:marLeft w:val="0"/>
              <w:marRight w:val="0"/>
              <w:marTop w:val="0"/>
              <w:marBottom w:val="0"/>
              <w:divBdr>
                <w:top w:val="none" w:sz="0" w:space="0" w:color="auto"/>
                <w:left w:val="none" w:sz="0" w:space="0" w:color="auto"/>
                <w:bottom w:val="none" w:sz="0" w:space="0" w:color="auto"/>
                <w:right w:val="none" w:sz="0" w:space="0" w:color="auto"/>
              </w:divBdr>
              <w:divsChild>
                <w:div w:id="164812472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43278204">
          <w:marLeft w:val="0"/>
          <w:marRight w:val="0"/>
          <w:marTop w:val="0"/>
          <w:marBottom w:val="0"/>
          <w:divBdr>
            <w:top w:val="none" w:sz="0" w:space="0" w:color="auto"/>
            <w:left w:val="none" w:sz="0" w:space="0" w:color="auto"/>
            <w:bottom w:val="none" w:sz="0" w:space="0" w:color="auto"/>
            <w:right w:val="none" w:sz="0" w:space="0" w:color="auto"/>
          </w:divBdr>
          <w:divsChild>
            <w:div w:id="4830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serve.gov/newsevents/pressreleases/files/enf20181113a1.pdf" TargetMode="External"/><Relationship Id="rId18" Type="http://schemas.openxmlformats.org/officeDocument/2006/relationships/hyperlink" Target="https://www.hud.gov/press/press_releases_media_advisories/HUD_No_18_107" TargetMode="External"/><Relationship Id="rId26" Type="http://schemas.openxmlformats.org/officeDocument/2006/relationships/hyperlink" Target="https://www.federalreserve.gov/newsevents/pressreleases/files/enf20180810a.pdf" TargetMode="External"/><Relationship Id="rId39" Type="http://schemas.openxmlformats.org/officeDocument/2006/relationships/hyperlink" Target="https://www.enforcementwatch.com/2018/04/04/doj-brings-suit-against-california-auto-lender-under-scra/" TargetMode="External"/><Relationship Id="rId3" Type="http://schemas.openxmlformats.org/officeDocument/2006/relationships/styles" Target="styles.xml"/><Relationship Id="rId21" Type="http://schemas.openxmlformats.org/officeDocument/2006/relationships/hyperlink" Target="https://www.justice.gov/crt/case/united-states-v-advocate-law-groups-florida-pa-md-fla" TargetMode="External"/><Relationship Id="rId34" Type="http://schemas.openxmlformats.org/officeDocument/2006/relationships/hyperlink" Target="https://www.federalreserve.gov/newsevents/pressreleases/files/enf20180501a1.pdf" TargetMode="External"/><Relationship Id="rId42" Type="http://schemas.openxmlformats.org/officeDocument/2006/relationships/hyperlink" Target="https://www5.fdic.gov/EDOBlob/Mediator.aspx?UniqueID=977f09a0-744c-4cb0-bbdc-a40097fae84d" TargetMode="External"/><Relationship Id="rId47" Type="http://schemas.openxmlformats.org/officeDocument/2006/relationships/hyperlink" Target="https://www5.fdic.gov/EDOBlob/Mediator.aspx?UniqueID=8ea203ee-e8e7-412a-9fcf-14b1a8b696b5"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3.amazonaws.com/files.consumerfinance.gov/f/documents/bcfp_santander-consumer-usa_consent-order_2018-11.pdf" TargetMode="External"/><Relationship Id="rId17" Type="http://schemas.openxmlformats.org/officeDocument/2006/relationships/hyperlink" Target="file:///C:\Users\Robin\Downloads\18-0158k%20(1).pdf" TargetMode="External"/><Relationship Id="rId25" Type="http://schemas.openxmlformats.org/officeDocument/2006/relationships/hyperlink" Target="https://www.hud.gov/sites/dfiles/FHEO/images/2018all.pdf" TargetMode="External"/><Relationship Id="rId33" Type="http://schemas.openxmlformats.org/officeDocument/2006/relationships/hyperlink" Target="https://www.justice.gov/opa/pr/justice-department-reaches-settlement-minnesota-bank-resolve-allegations-lending" TargetMode="External"/><Relationship Id="rId38" Type="http://schemas.openxmlformats.org/officeDocument/2006/relationships/hyperlink" Target="https://www.bankersonline.com/penalty/158084" TargetMode="External"/><Relationship Id="rId46" Type="http://schemas.openxmlformats.org/officeDocument/2006/relationships/hyperlink" Target="https://www5.fdic.gov/EDOBlob/Mediator.aspx?UniqueID=19107e4e-a35e-4437-b95c-e5cad773d41c" TargetMode="External"/><Relationship Id="rId2" Type="http://schemas.openxmlformats.org/officeDocument/2006/relationships/numbering" Target="numbering.xml"/><Relationship Id="rId16" Type="http://schemas.openxmlformats.org/officeDocument/2006/relationships/hyperlink" Target="https://www.consumerfinance.gov/policy-compliance/enforcement/actions/bluestem-brands-inc/" TargetMode="External"/><Relationship Id="rId20" Type="http://schemas.openxmlformats.org/officeDocument/2006/relationships/hyperlink" Target="https://www.hud.gov/press/press_releases_media_advisories/HUD_No_18_101" TargetMode="External"/><Relationship Id="rId29" Type="http://schemas.openxmlformats.org/officeDocument/2006/relationships/hyperlink" Target="https://www.consumerfinance.gov/about-us/newsroom/bureau-consumer-financial-protection-settles-citibank-na/" TargetMode="External"/><Relationship Id="rId41" Type="http://schemas.openxmlformats.org/officeDocument/2006/relationships/hyperlink" Target="https://www5.fdic.gov/EDOBlob/Mediator.aspx?UniqueID=48a8b4f9-c50c-4ff1-b550-7e46a8e013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serve.gov/newsevents/pressreleases/files/enf20181128a1.pdf" TargetMode="External"/><Relationship Id="rId24" Type="http://schemas.openxmlformats.org/officeDocument/2006/relationships/hyperlink" Target="https://www.hud.gov/PRESS/PRESS_RELEASES_MEDIA_ADVISORIES/HUD_NO_18_085" TargetMode="External"/><Relationship Id="rId32" Type="http://schemas.openxmlformats.org/officeDocument/2006/relationships/hyperlink" Target="https://www5.fdic.gov/EDOBlob/Mediator.aspx?UniqueID=43b72615-9fc2-467e-923e-a3755d70c7b8" TargetMode="External"/><Relationship Id="rId37" Type="http://schemas.openxmlformats.org/officeDocument/2006/relationships/hyperlink" Target="https://www.consumerfinance.gov/about-us/newsroom/bureau-consumer-financial-protection-announces-settlement-wells-fargo-auto-loan-administration-and-mortgage-practices/" TargetMode="External"/><Relationship Id="rId40" Type="http://schemas.openxmlformats.org/officeDocument/2006/relationships/hyperlink" Target="https://www.justice.gov/crt/case/united-states-v-california-auto-finance-cd-cal" TargetMode="External"/><Relationship Id="rId45" Type="http://schemas.openxmlformats.org/officeDocument/2006/relationships/hyperlink" Target="https://www.federalreserve.gov/newsevents/pressreleases/files/enf20180112b1.pdf" TargetMode="External"/><Relationship Id="rId5" Type="http://schemas.openxmlformats.org/officeDocument/2006/relationships/webSettings" Target="webSettings.xml"/><Relationship Id="rId15" Type="http://schemas.openxmlformats.org/officeDocument/2006/relationships/hyperlink" Target="file:///C:\Users\Robin\Downloads\18-0011k%20(2).pdf" TargetMode="External"/><Relationship Id="rId23" Type="http://schemas.openxmlformats.org/officeDocument/2006/relationships/hyperlink" Target="https://www.federalreserve.gov/newsevents/pressreleases/files/enf20180830a1.pdf" TargetMode="External"/><Relationship Id="rId28" Type="http://schemas.openxmlformats.org/officeDocument/2006/relationships/hyperlink" Target="https://www5.fdic.gov/EDOBlob/Mediator.aspx?UniqueID=15befb0b-db78-47d8-870d-86ab7848933e" TargetMode="External"/><Relationship Id="rId36" Type="http://schemas.openxmlformats.org/officeDocument/2006/relationships/hyperlink" Target="https://www5.fdic.gov/EDOBlob/Mediator.aspx?UniqueID=f34f92d8-5073-4d32-85dd-1459e9bcfc6b" TargetMode="External"/><Relationship Id="rId49" Type="http://schemas.openxmlformats.org/officeDocument/2006/relationships/fontTable" Target="fontTable.xml"/><Relationship Id="rId10" Type="http://schemas.openxmlformats.org/officeDocument/2006/relationships/hyperlink" Target="https://www.consumerfinance.gov/about-us/newsroom/bureau-consumer-financial-protection-files-complaint-and-proposed-settlement-village-capital-investment-llc/" TargetMode="External"/><Relationship Id="rId19" Type="http://schemas.openxmlformats.org/officeDocument/2006/relationships/hyperlink" Target="https://www5.fdic.gov/EDOBlob/Mediator.aspx?UniqueID=6705002d-fb08-48c3-be2c-28c7c2675839" TargetMode="External"/><Relationship Id="rId31" Type="http://schemas.openxmlformats.org/officeDocument/2006/relationships/hyperlink" Target="https://www.consumerfinance.gov/about-us/newsroom/bureau-consumer-financial-protection-settles-security-group-inc/" TargetMode="External"/><Relationship Id="rId44" Type="http://schemas.openxmlformats.org/officeDocument/2006/relationships/hyperlink" Target="https://www.federalreserve.gov/newsevents/pressreleases/files/enf20180215b1.pdf" TargetMode="External"/><Relationship Id="rId4" Type="http://schemas.openxmlformats.org/officeDocument/2006/relationships/settings" Target="settings.xml"/><Relationship Id="rId9" Type="http://schemas.openxmlformats.org/officeDocument/2006/relationships/hyperlink" Target="file:///C:\Users\Robin\Downloads\18-0106k.pdf" TargetMode="External"/><Relationship Id="rId14" Type="http://schemas.openxmlformats.org/officeDocument/2006/relationships/hyperlink" Target="https://www.consumerfinance.gov/policy-compliance/enforcement/actions/cash-express-llc/" TargetMode="External"/><Relationship Id="rId22" Type="http://schemas.openxmlformats.org/officeDocument/2006/relationships/hyperlink" Target="https://www.consumerfinance.gov/policy-compliance/enforcement/actions/future-income-payments-llc/" TargetMode="External"/><Relationship Id="rId27" Type="http://schemas.openxmlformats.org/officeDocument/2006/relationships/hyperlink" Target="https://www.consumerfinance.gov/about-us/newsroom/bureau-consumer-financial-protection-settles-triton-management-group/" TargetMode="External"/><Relationship Id="rId30" Type="http://schemas.openxmlformats.org/officeDocument/2006/relationships/hyperlink" Target="https://www5.fdic.gov/EDOBlob/Mediator.aspx?UniqueID=52490a58-bebc-4699-84e6-c006ba329f84" TargetMode="External"/><Relationship Id="rId35" Type="http://schemas.openxmlformats.org/officeDocument/2006/relationships/hyperlink" Target="https://www.occ.gov/static/enforcement-actions/ea2018-030.pdf" TargetMode="External"/><Relationship Id="rId43" Type="http://schemas.openxmlformats.org/officeDocument/2006/relationships/hyperlink" Target="https://www.justice.gov/opa/pr/justice-department-obtains-over-2-million-servicemembers-who-terminated-their-motor-vehicle" TargetMode="External"/><Relationship Id="rId48" Type="http://schemas.openxmlformats.org/officeDocument/2006/relationships/header" Target="header1.xml"/><Relationship Id="rId8" Type="http://schemas.openxmlformats.org/officeDocument/2006/relationships/hyperlink" Target="file:///C:\Users\Robin\Downloads\18-0089k%20-No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F20B-89A4-42D8-B749-0BFBC773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2</cp:revision>
  <cp:lastPrinted>2019-01-02T16:29:00Z</cp:lastPrinted>
  <dcterms:created xsi:type="dcterms:W3CDTF">2019-07-10T16:34:00Z</dcterms:created>
  <dcterms:modified xsi:type="dcterms:W3CDTF">2019-07-10T16:34:00Z</dcterms:modified>
</cp:coreProperties>
</file>